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openxmlformats-officedocument.wordprocessingml.webSettings+xml" PartName="/word/webSettings0.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DD689C" w:rsidR="00590154" w:rsidP="00BF6E17" w:rsidRDefault="00BF6E17" w14:paraId="7C17D652" w14:textId="5B985627">
      <w:pPr>
        <w:pStyle w:val="Standaardvet"/>
        <w:rPr>
          <w:sz w:val="24"/>
          <w:szCs w:val="24"/>
        </w:rPr>
      </w:pPr>
      <w:r w:rsidRPr="00DD689C">
        <w:rPr>
          <w:sz w:val="24"/>
          <w:szCs w:val="24"/>
        </w:rPr>
        <w:t>Formulier aanvraag bestemmingsfonds agentschap</w:t>
      </w:r>
    </w:p>
    <w:p w:rsidR="00F26F34" w:rsidP="004023A8" w:rsidRDefault="00067790" w14:paraId="4EBC4622" w14:textId="08C030D0">
      <w:pPr>
        <w:jc w:val="both"/>
      </w:pPr>
      <w:r>
        <w:t>Een bestemmingsfonds is “</w:t>
      </w:r>
      <w:r w:rsidRPr="00067790">
        <w:t>het deel van het eigen vermogen dat wordt afgezonderd omdat daaraan een beperktere bestedingsmogelijkheid is gegeven dan gezien de doelstelling van de organisatie zou zijn toegestaan en deze beperking is door derden aangebracht.</w:t>
      </w:r>
      <w:r>
        <w:t>”</w:t>
      </w:r>
      <w:r w:rsidR="0022552E">
        <w:t xml:space="preserve"> </w:t>
      </w:r>
      <w:r w:rsidR="004023A8">
        <w:t>Gelet op artikel 11 eerste lid onder c en tweede lid van de Regeling agentschappen</w:t>
      </w:r>
      <w:r w:rsidR="00F26F34">
        <w:t xml:space="preserve"> 2024</w:t>
      </w:r>
      <w:r w:rsidR="004023A8">
        <w:t xml:space="preserve"> dient dit formulier ter onderbouwing van een aanvraag tot het aanhouden van een bestemmingsfonds op de balans van een agentschap. </w:t>
      </w:r>
      <w:r w:rsidR="00F26F34">
        <w:t xml:space="preserve">Zoals ook blijkt uit de Toelichting van de Regeling agentschappen 2024, staat het vormen van bestemmingsfondsen op gespannen voet met integrale besluitvorming en het budgetrecht. Daarom </w:t>
      </w:r>
      <w:r w:rsidR="000A1A5C">
        <w:t>dient</w:t>
      </w:r>
      <w:r w:rsidR="00F26F34">
        <w:t xml:space="preserve"> hier terughoudend mee worden omgegaan. Financiering via de reguliere bekostiging en/of de leenfaciliteit verdienen de voorkeur als dat mogelijk is.</w:t>
      </w:r>
      <w:r w:rsidR="0022552E">
        <w:br/>
      </w:r>
      <w:r w:rsidR="00F26F34">
        <w:t xml:space="preserve"> </w:t>
      </w:r>
    </w:p>
    <w:p w:rsidR="00BF6E17" w:rsidP="004023A8" w:rsidRDefault="004023A8" w14:paraId="482B970C" w14:textId="32FD5B87">
      <w:pPr>
        <w:jc w:val="both"/>
      </w:pPr>
      <w:r>
        <w:t xml:space="preserve">Wanneer het agentschap, </w:t>
      </w:r>
      <w:r w:rsidR="00F26F34">
        <w:t>beleidsverantwoordelijke(n)</w:t>
      </w:r>
      <w:r>
        <w:t xml:space="preserve"> en de continuïteitsverantwoordelijke gezamenlijke afspraken hebben gemaakt over het vormen van een bestemmingsfonds, kan de directie Financieel Economische Zaken van de continuïteitsverantwoordelijke een aanvraag indienen</w:t>
      </w:r>
      <w:r w:rsidR="000A1A5C">
        <w:t xml:space="preserve"> door dit formulier in te vullen</w:t>
      </w:r>
      <w:r>
        <w:t xml:space="preserve">. </w:t>
      </w:r>
      <w:r w:rsidR="00F26F34">
        <w:t xml:space="preserve">Deze wordt, conform de Rijksbegrotingsvoorschriften, verstuurd als bijlage bij de beleidsbrief en </w:t>
      </w:r>
      <w:r>
        <w:t xml:space="preserve">beoordeeld door de Inspectie der </w:t>
      </w:r>
      <w:r w:rsidR="005A262B">
        <w:t>Rijksfinanciën,</w:t>
      </w:r>
      <w:r w:rsidR="000A1A5C">
        <w:t xml:space="preserve"> zoals ook gebeurt bij </w:t>
      </w:r>
      <w:r>
        <w:t>aanvragen voor leenplafonds.</w:t>
      </w:r>
      <w:r w:rsidR="00D52EBD">
        <w:t xml:space="preserve"> Het budgettaire beslag van het bestemmingsfonds en het bijbehorende kasritme moet passen binnen het integrale </w:t>
      </w:r>
      <w:proofErr w:type="spellStart"/>
      <w:r w:rsidR="00D52EBD">
        <w:t>rijksbrede</w:t>
      </w:r>
      <w:proofErr w:type="spellEnd"/>
      <w:r w:rsidR="00D52EBD">
        <w:t xml:space="preserve"> beeld van verschuivende uitgaven in de meerjarige periode (t t/m t+5). Omdat het honoreren van het bestemmingsfonds dus ook afhangt van het integrale </w:t>
      </w:r>
      <w:proofErr w:type="spellStart"/>
      <w:r w:rsidR="00D52EBD">
        <w:t>rijksbrede</w:t>
      </w:r>
      <w:proofErr w:type="spellEnd"/>
      <w:r w:rsidR="00D52EBD">
        <w:t xml:space="preserve"> beeld kan het voorkomen dat ondanks sluitende motivering het niet mogelijk is het bestemmingsfonds op te richten. </w:t>
      </w:r>
    </w:p>
    <w:p w:rsidR="00BF6E17" w:rsidP="00BF6E17" w:rsidRDefault="00BF6E17" w14:paraId="1DD6522B" w14:textId="77777777"/>
    <w:p w:rsidRPr="00BF6E17" w:rsidR="0022552E" w:rsidP="00BF6E17" w:rsidRDefault="0022552E" w14:paraId="10FD9255" w14:textId="77777777">
      <w:pPr>
        <w:rPr>
          <w:b/>
          <w:bCs/>
        </w:rPr>
      </w:pPr>
    </w:p>
    <w:p w:rsidRPr="00BF6E17" w:rsidR="00465B2B" w:rsidP="00465B2B" w:rsidRDefault="00465B2B" w14:paraId="74359580" w14:textId="77777777">
      <w:pPr>
        <w:pStyle w:val="Lijstalinea"/>
        <w:numPr>
          <w:ilvl w:val="0"/>
          <w:numId w:val="6"/>
        </w:numPr>
        <w:autoSpaceDN w:val="false"/>
        <w:spacing w:after="0" w:line="276" w:lineRule="auto"/>
        <w:textAlignment w:val="baseline"/>
        <w:rPr>
          <w:b/>
          <w:bCs/>
        </w:rPr>
      </w:pPr>
      <w:r w:rsidRPr="00BF6E17">
        <w:rPr>
          <w:b/>
          <w:bCs/>
        </w:rPr>
        <w:t>Doel</w:t>
      </w:r>
    </w:p>
    <w:p w:rsidRPr="003B51EA" w:rsidR="00465B2B" w:rsidP="00465B2B" w:rsidRDefault="00F61F2B" w14:paraId="46B53BD9" w14:textId="75869C47">
      <w:pPr>
        <w:spacing w:line="276" w:lineRule="auto"/>
        <w:rPr>
          <w:i/>
          <w:iCs/>
          <w:sz w:val="16"/>
          <w:szCs w:val="16"/>
        </w:rPr>
      </w:pPr>
      <w:r w:rsidRPr="00F61F2B">
        <w:rPr>
          <w:i/>
          <w:iCs/>
          <w:sz w:val="16"/>
          <w:szCs w:val="16"/>
        </w:rPr>
        <w:t>Licht toe wat het doel is van het bestemmingsfonds en hoe dit doel is afgebakend. Waarvoor worden de middelen uit het bestemmingsfonds ingezet? Geef ook aan op welke manier aangetoond wordt dat de middelen</w:t>
      </w:r>
      <w:r w:rsidR="008D0EFF">
        <w:rPr>
          <w:i/>
          <w:iCs/>
          <w:sz w:val="16"/>
          <w:szCs w:val="16"/>
        </w:rPr>
        <w:t xml:space="preserve"> doelmatig en doeltreffend</w:t>
      </w:r>
      <w:r w:rsidRPr="00F61F2B">
        <w:rPr>
          <w:i/>
          <w:iCs/>
          <w:sz w:val="16"/>
          <w:szCs w:val="16"/>
        </w:rPr>
        <w:t xml:space="preserve"> ten goede komen aan de bestemming.</w:t>
      </w:r>
      <w:r w:rsidR="005A262B">
        <w:rPr>
          <w:i/>
          <w:iCs/>
          <w:sz w:val="16"/>
          <w:szCs w:val="16"/>
        </w:rPr>
        <w:t xml:space="preserve"> Sluit hierbij aan bij artikel 3.1 van de Comptabiliteitswet</w:t>
      </w:r>
      <w:r w:rsidR="00D110DF">
        <w:rPr>
          <w:i/>
          <w:iCs/>
          <w:sz w:val="16"/>
          <w:szCs w:val="16"/>
        </w:rPr>
        <w:t>,</w:t>
      </w:r>
      <w:r w:rsidR="008D0EFF">
        <w:rPr>
          <w:i/>
          <w:iCs/>
          <w:sz w:val="16"/>
          <w:szCs w:val="16"/>
        </w:rPr>
        <w:t xml:space="preserve"> en de </w:t>
      </w:r>
      <w:hyperlink w:history="true" r:id="rId9">
        <w:r w:rsidRPr="00D110DF" w:rsidR="008D0EFF">
          <w:rPr>
            <w:rStyle w:val="Hyperlink"/>
            <w:i/>
            <w:iCs/>
            <w:sz w:val="16"/>
            <w:szCs w:val="16"/>
          </w:rPr>
          <w:t xml:space="preserve">Werkwijze Beleidskeuzes </w:t>
        </w:r>
        <w:r w:rsidRPr="00D110DF" w:rsidR="00D110DF">
          <w:rPr>
            <w:rStyle w:val="Hyperlink"/>
            <w:i/>
            <w:iCs/>
            <w:sz w:val="16"/>
            <w:szCs w:val="16"/>
          </w:rPr>
          <w:t>U</w:t>
        </w:r>
        <w:r w:rsidRPr="00D110DF" w:rsidR="008D0EFF">
          <w:rPr>
            <w:rStyle w:val="Hyperlink"/>
            <w:i/>
            <w:iCs/>
            <w:sz w:val="16"/>
            <w:szCs w:val="16"/>
          </w:rPr>
          <w:t>itgelegd</w:t>
        </w:r>
      </w:hyperlink>
      <w:r w:rsidR="008D0EFF">
        <w:rPr>
          <w:i/>
          <w:iCs/>
          <w:sz w:val="16"/>
          <w:szCs w:val="16"/>
        </w:rPr>
        <w:t xml:space="preserve"> waaronder evaluatie van nieuwe beleidsvoorstellen als dat van toepassing is.</w:t>
      </w:r>
    </w:p>
    <w:tbl>
      <w:tblPr>
        <w:tblStyle w:val="Tabelraster"/>
        <w:tblW w:w="0" w:type="auto"/>
        <w:tblInd w:w="0" w:type="dxa"/>
        <w:tblLook w:firstRow="1" w:lastRow="0" w:firstColumn="1" w:lastColumn="0" w:noHBand="0" w:noVBand="1" w:val="04A0"/>
      </w:tblPr>
      <w:tblGrid>
        <w:gridCol w:w="9742"/>
      </w:tblGrid>
      <w:tr w:rsidR="00465B2B" w:rsidTr="004B1D01" w14:paraId="71E63829" w14:textId="77777777">
        <w:tc>
          <w:tcPr>
            <w:tcW w:w="9742" w:type="dxa"/>
          </w:tcPr>
          <w:p w:rsidR="00465B2B" w:rsidP="004B1D01" w:rsidRDefault="00465B2B" w14:paraId="31C5C07C" w14:textId="77777777">
            <w:pPr>
              <w:spacing w:line="276" w:lineRule="auto"/>
            </w:pPr>
          </w:p>
          <w:p w:rsidR="00465B2B" w:rsidP="004B1D01" w:rsidRDefault="00465B2B" w14:paraId="0A7627EC" w14:textId="77777777">
            <w:pPr>
              <w:spacing w:line="276" w:lineRule="auto"/>
            </w:pPr>
          </w:p>
        </w:tc>
      </w:tr>
    </w:tbl>
    <w:p w:rsidRPr="00BF6E17" w:rsidR="00465B2B" w:rsidP="00465B2B" w:rsidRDefault="00465B2B" w14:paraId="28057C46" w14:textId="77777777">
      <w:pPr>
        <w:spacing w:line="276" w:lineRule="auto"/>
      </w:pPr>
    </w:p>
    <w:p w:rsidRPr="00465B2B" w:rsidR="003B51EA" w:rsidP="00067790" w:rsidRDefault="003B51EA" w14:paraId="128FEDDA" w14:textId="0964DBDF">
      <w:pPr>
        <w:pStyle w:val="Lijstalinea"/>
        <w:numPr>
          <w:ilvl w:val="0"/>
          <w:numId w:val="6"/>
        </w:numPr>
        <w:spacing w:line="240" w:lineRule="auto"/>
        <w:rPr>
          <w:b/>
          <w:bCs/>
        </w:rPr>
      </w:pPr>
      <w:r w:rsidRPr="00465B2B">
        <w:rPr>
          <w:b/>
          <w:bCs/>
        </w:rPr>
        <w:t>Onderbouwing dat andere wijzen van financiering niet geschikt zijn</w:t>
      </w:r>
    </w:p>
    <w:p w:rsidRPr="003B51EA" w:rsidR="00BF6E17" w:rsidP="00067790" w:rsidRDefault="003B51EA" w14:paraId="3CA2DB37" w14:textId="487E58BD">
      <w:pPr>
        <w:spacing w:line="240" w:lineRule="auto"/>
        <w:rPr>
          <w:i/>
          <w:iCs/>
          <w:sz w:val="16"/>
          <w:szCs w:val="16"/>
        </w:rPr>
      </w:pPr>
      <w:r>
        <w:rPr>
          <w:i/>
          <w:iCs/>
          <w:sz w:val="16"/>
          <w:szCs w:val="16"/>
        </w:rPr>
        <w:t>Omwille van de</w:t>
      </w:r>
      <w:r w:rsidRPr="003B51EA" w:rsidR="00BF6E17">
        <w:rPr>
          <w:i/>
          <w:iCs/>
          <w:sz w:val="16"/>
          <w:szCs w:val="16"/>
        </w:rPr>
        <w:t xml:space="preserve"> </w:t>
      </w:r>
      <w:r w:rsidR="00252448">
        <w:rPr>
          <w:i/>
          <w:iCs/>
          <w:sz w:val="16"/>
          <w:szCs w:val="16"/>
        </w:rPr>
        <w:t>spanning</w:t>
      </w:r>
      <w:r w:rsidRPr="003B51EA" w:rsidR="00BF6E17">
        <w:rPr>
          <w:i/>
          <w:iCs/>
          <w:sz w:val="16"/>
          <w:szCs w:val="16"/>
        </w:rPr>
        <w:t xml:space="preserve"> tussen vermogensvorming bij agentschappen en het </w:t>
      </w:r>
      <w:r w:rsidR="008A54B3">
        <w:rPr>
          <w:i/>
          <w:iCs/>
          <w:sz w:val="16"/>
          <w:szCs w:val="16"/>
        </w:rPr>
        <w:t>reguliere begrotingsproces</w:t>
      </w:r>
      <w:r>
        <w:rPr>
          <w:i/>
          <w:iCs/>
          <w:sz w:val="16"/>
          <w:szCs w:val="16"/>
        </w:rPr>
        <w:t xml:space="preserve"> moet</w:t>
      </w:r>
      <w:r w:rsidRPr="003B51EA" w:rsidR="00BF6E17">
        <w:rPr>
          <w:i/>
          <w:iCs/>
          <w:sz w:val="16"/>
          <w:szCs w:val="16"/>
        </w:rPr>
        <w:t xml:space="preserve"> er spaarzaam worden omgegaan met de vorming van bestemmingsfondsen. </w:t>
      </w:r>
      <w:r w:rsidR="00252448">
        <w:rPr>
          <w:i/>
          <w:iCs/>
          <w:sz w:val="16"/>
          <w:szCs w:val="16"/>
        </w:rPr>
        <w:t>Daarom dient</w:t>
      </w:r>
      <w:r>
        <w:rPr>
          <w:i/>
          <w:iCs/>
          <w:sz w:val="16"/>
          <w:szCs w:val="16"/>
        </w:rPr>
        <w:t xml:space="preserve"> beargumenteerd </w:t>
      </w:r>
      <w:r w:rsidR="00252448">
        <w:rPr>
          <w:i/>
          <w:iCs/>
          <w:sz w:val="16"/>
          <w:szCs w:val="16"/>
        </w:rPr>
        <w:t xml:space="preserve">te </w:t>
      </w:r>
      <w:r>
        <w:rPr>
          <w:i/>
          <w:iCs/>
          <w:sz w:val="16"/>
          <w:szCs w:val="16"/>
        </w:rPr>
        <w:t xml:space="preserve">worden dat een bestemmingsfonds beter geschikt is dan </w:t>
      </w:r>
      <w:r w:rsidR="00252448">
        <w:rPr>
          <w:i/>
          <w:iCs/>
          <w:sz w:val="16"/>
          <w:szCs w:val="16"/>
        </w:rPr>
        <w:t>financiering via bijvoorbeeld</w:t>
      </w:r>
      <w:r>
        <w:rPr>
          <w:i/>
          <w:iCs/>
          <w:sz w:val="16"/>
          <w:szCs w:val="16"/>
        </w:rPr>
        <w:t xml:space="preserve"> de reguliere bekostiging </w:t>
      </w:r>
      <w:r w:rsidR="00252448">
        <w:rPr>
          <w:i/>
          <w:iCs/>
          <w:sz w:val="16"/>
          <w:szCs w:val="16"/>
        </w:rPr>
        <w:t>en</w:t>
      </w:r>
      <w:r>
        <w:rPr>
          <w:i/>
          <w:iCs/>
          <w:sz w:val="16"/>
          <w:szCs w:val="16"/>
        </w:rPr>
        <w:t xml:space="preserve"> de leenfaciliteit.</w:t>
      </w:r>
    </w:p>
    <w:tbl>
      <w:tblPr>
        <w:tblStyle w:val="Tabelraster"/>
        <w:tblW w:w="0" w:type="auto"/>
        <w:tblInd w:w="0" w:type="dxa"/>
        <w:tblLook w:firstRow="1" w:lastRow="0" w:firstColumn="1" w:lastColumn="0" w:noHBand="0" w:noVBand="1" w:val="04A0"/>
      </w:tblPr>
      <w:tblGrid>
        <w:gridCol w:w="9742"/>
      </w:tblGrid>
      <w:tr w:rsidR="00BF6E17" w:rsidTr="00BF6E17" w14:paraId="7DDE4D72" w14:textId="77777777">
        <w:tc>
          <w:tcPr>
            <w:tcW w:w="9742" w:type="dxa"/>
          </w:tcPr>
          <w:p w:rsidRPr="00252448" w:rsidR="00BF6E17" w:rsidP="00BF6E17" w:rsidRDefault="00BF6E17" w14:paraId="0EB7498E" w14:textId="77777777">
            <w:pPr>
              <w:spacing w:line="276" w:lineRule="auto"/>
            </w:pPr>
          </w:p>
          <w:p w:rsidR="00252448" w:rsidP="00BF6E17" w:rsidRDefault="00252448" w14:paraId="2F918D16" w14:textId="77777777">
            <w:pPr>
              <w:spacing w:line="276" w:lineRule="auto"/>
              <w:rPr>
                <w:i/>
                <w:iCs/>
              </w:rPr>
            </w:pPr>
          </w:p>
        </w:tc>
      </w:tr>
    </w:tbl>
    <w:p w:rsidRPr="00BF6E17" w:rsidR="00BF6E17" w:rsidP="00BF6E17" w:rsidRDefault="00BF6E17" w14:paraId="5A8868C6" w14:textId="77777777">
      <w:pPr>
        <w:spacing w:line="276" w:lineRule="auto"/>
        <w:rPr>
          <w:i/>
          <w:iCs/>
        </w:rPr>
      </w:pPr>
    </w:p>
    <w:p w:rsidRPr="00BF6E17" w:rsidR="00BF6E17" w:rsidP="00BF6E17" w:rsidRDefault="00BF6E17" w14:paraId="5998EDD2" w14:textId="77777777">
      <w:pPr>
        <w:pStyle w:val="Lijstalinea"/>
        <w:numPr>
          <w:ilvl w:val="0"/>
          <w:numId w:val="6"/>
        </w:numPr>
        <w:autoSpaceDN w:val="false"/>
        <w:spacing w:after="0" w:line="276" w:lineRule="auto"/>
        <w:textAlignment w:val="baseline"/>
        <w:rPr>
          <w:b/>
          <w:bCs/>
        </w:rPr>
      </w:pPr>
      <w:r w:rsidRPr="00BF6E17">
        <w:rPr>
          <w:b/>
          <w:bCs/>
        </w:rPr>
        <w:t xml:space="preserve">Looptijd </w:t>
      </w:r>
    </w:p>
    <w:p w:rsidR="00F61F2B" w:rsidP="00BF6E17" w:rsidRDefault="00F61F2B" w14:paraId="73FADBCC" w14:textId="675E7E4F">
      <w:pPr>
        <w:spacing w:line="276" w:lineRule="auto"/>
        <w:rPr>
          <w:i/>
          <w:iCs/>
          <w:sz w:val="16"/>
          <w:szCs w:val="16"/>
        </w:rPr>
      </w:pPr>
      <w:r w:rsidRPr="00F61F2B">
        <w:rPr>
          <w:i/>
          <w:iCs/>
          <w:sz w:val="16"/>
          <w:szCs w:val="16"/>
        </w:rPr>
        <w:t>Geef een toelichting op de looptijd, rekening houdend met de volgende voorwaarden:</w:t>
      </w:r>
    </w:p>
    <w:p w:rsidRPr="003B51EA" w:rsidR="00BF6E17" w:rsidP="00BF6E17" w:rsidRDefault="00BF6E17" w14:paraId="5AE873F8" w14:textId="405053A2">
      <w:pPr>
        <w:spacing w:line="276" w:lineRule="auto"/>
        <w:rPr>
          <w:i/>
          <w:iCs/>
          <w:sz w:val="16"/>
          <w:szCs w:val="16"/>
        </w:rPr>
      </w:pPr>
      <w:r w:rsidRPr="003B51EA">
        <w:rPr>
          <w:i/>
          <w:iCs/>
          <w:sz w:val="16"/>
          <w:szCs w:val="16"/>
        </w:rPr>
        <w:t xml:space="preserve">De beoogde </w:t>
      </w:r>
      <w:r w:rsidR="009D420A">
        <w:rPr>
          <w:i/>
          <w:iCs/>
          <w:sz w:val="16"/>
          <w:szCs w:val="16"/>
        </w:rPr>
        <w:t>looptijd van het b</w:t>
      </w:r>
      <w:r w:rsidR="008D0EFF">
        <w:rPr>
          <w:i/>
          <w:iCs/>
          <w:sz w:val="16"/>
          <w:szCs w:val="16"/>
        </w:rPr>
        <w:t>e</w:t>
      </w:r>
      <w:r w:rsidR="009D420A">
        <w:rPr>
          <w:i/>
          <w:iCs/>
          <w:sz w:val="16"/>
          <w:szCs w:val="16"/>
        </w:rPr>
        <w:t>stemmingsfonds</w:t>
      </w:r>
      <w:r w:rsidRPr="003B51EA">
        <w:rPr>
          <w:i/>
          <w:iCs/>
          <w:sz w:val="16"/>
          <w:szCs w:val="16"/>
        </w:rPr>
        <w:t xml:space="preserve"> is meerjarig en tijdelijk</w:t>
      </w:r>
      <w:r w:rsidRPr="00542AE5">
        <w:rPr>
          <w:i/>
          <w:iCs/>
          <w:sz w:val="16"/>
          <w:szCs w:val="16"/>
        </w:rPr>
        <w:t>.</w:t>
      </w:r>
      <w:r w:rsidR="006F7962">
        <w:rPr>
          <w:i/>
          <w:iCs/>
          <w:sz w:val="16"/>
          <w:szCs w:val="16"/>
        </w:rPr>
        <w:t xml:space="preserve"> Het doel is dus altijd iets tijdelijks (zie punt 1).</w:t>
      </w:r>
      <w:r w:rsidRPr="00542AE5">
        <w:rPr>
          <w:i/>
          <w:iCs/>
          <w:sz w:val="16"/>
          <w:szCs w:val="16"/>
        </w:rPr>
        <w:t xml:space="preserve"> Indien </w:t>
      </w:r>
      <w:r w:rsidR="006F7962">
        <w:rPr>
          <w:i/>
          <w:iCs/>
          <w:sz w:val="16"/>
          <w:szCs w:val="16"/>
        </w:rPr>
        <w:t xml:space="preserve">een doel kortlopend is en dus binnen één jaar wordt afgerond, </w:t>
      </w:r>
      <w:r w:rsidRPr="00542AE5" w:rsidR="00542AE5">
        <w:rPr>
          <w:i/>
          <w:iCs/>
          <w:sz w:val="16"/>
          <w:szCs w:val="16"/>
        </w:rPr>
        <w:t>en is er geen noodzaak tot het vormen van een fonds</w:t>
      </w:r>
      <w:r w:rsidRPr="00542AE5">
        <w:rPr>
          <w:i/>
          <w:iCs/>
          <w:sz w:val="16"/>
          <w:szCs w:val="16"/>
        </w:rPr>
        <w:t>.</w:t>
      </w:r>
      <w:r w:rsidRPr="003B51EA">
        <w:rPr>
          <w:i/>
          <w:iCs/>
          <w:sz w:val="16"/>
          <w:szCs w:val="16"/>
        </w:rPr>
        <w:t xml:space="preserve"> </w:t>
      </w:r>
      <w:r w:rsidRPr="006F7962" w:rsidR="006F7962">
        <w:rPr>
          <w:i/>
          <w:iCs/>
          <w:sz w:val="16"/>
          <w:szCs w:val="16"/>
        </w:rPr>
        <w:t>Ook w</w:t>
      </w:r>
      <w:r w:rsidRPr="006F7962">
        <w:rPr>
          <w:i/>
          <w:iCs/>
          <w:sz w:val="16"/>
          <w:szCs w:val="16"/>
        </w:rPr>
        <w:t xml:space="preserve">anneer </w:t>
      </w:r>
      <w:r w:rsidR="006F7962">
        <w:rPr>
          <w:i/>
          <w:iCs/>
          <w:sz w:val="16"/>
          <w:szCs w:val="16"/>
        </w:rPr>
        <w:t>doelen</w:t>
      </w:r>
      <w:r w:rsidRPr="006F7962">
        <w:rPr>
          <w:i/>
          <w:iCs/>
          <w:sz w:val="16"/>
          <w:szCs w:val="16"/>
        </w:rPr>
        <w:t xml:space="preserve"> structureel van aard zijn</w:t>
      </w:r>
      <w:r w:rsidRPr="006F7962" w:rsidR="003B51EA">
        <w:rPr>
          <w:i/>
          <w:iCs/>
          <w:sz w:val="16"/>
          <w:szCs w:val="16"/>
        </w:rPr>
        <w:t>,</w:t>
      </w:r>
      <w:r w:rsidRPr="006F7962">
        <w:rPr>
          <w:i/>
          <w:iCs/>
          <w:sz w:val="16"/>
          <w:szCs w:val="16"/>
        </w:rPr>
        <w:t xml:space="preserve"> </w:t>
      </w:r>
      <w:r w:rsidRPr="006F7962" w:rsidR="003B51EA">
        <w:rPr>
          <w:i/>
          <w:iCs/>
          <w:sz w:val="16"/>
          <w:szCs w:val="16"/>
        </w:rPr>
        <w:t>dienen</w:t>
      </w:r>
      <w:r w:rsidRPr="006F7962">
        <w:rPr>
          <w:i/>
          <w:iCs/>
          <w:sz w:val="16"/>
          <w:szCs w:val="16"/>
        </w:rPr>
        <w:t xml:space="preserve"> deze opgenomen </w:t>
      </w:r>
      <w:r w:rsidRPr="006F7962" w:rsidR="003B51EA">
        <w:rPr>
          <w:i/>
          <w:iCs/>
          <w:sz w:val="16"/>
          <w:szCs w:val="16"/>
        </w:rPr>
        <w:t xml:space="preserve">te </w:t>
      </w:r>
      <w:r w:rsidRPr="006F7962">
        <w:rPr>
          <w:i/>
          <w:iCs/>
          <w:sz w:val="16"/>
          <w:szCs w:val="16"/>
        </w:rPr>
        <w:t xml:space="preserve">worden in de </w:t>
      </w:r>
      <w:r w:rsidRPr="006F7962" w:rsidR="003B51EA">
        <w:rPr>
          <w:i/>
          <w:iCs/>
          <w:sz w:val="16"/>
          <w:szCs w:val="16"/>
        </w:rPr>
        <w:t>reguliere bekostiging</w:t>
      </w:r>
      <w:r w:rsidRPr="006F7962">
        <w:rPr>
          <w:i/>
          <w:iCs/>
          <w:sz w:val="16"/>
          <w:szCs w:val="16"/>
        </w:rPr>
        <w:t>.</w:t>
      </w:r>
      <w:r w:rsidRPr="003B51EA">
        <w:rPr>
          <w:i/>
          <w:iCs/>
          <w:sz w:val="16"/>
          <w:szCs w:val="16"/>
        </w:rPr>
        <w:t xml:space="preserve"> </w:t>
      </w:r>
    </w:p>
    <w:tbl>
      <w:tblPr>
        <w:tblStyle w:val="Tabelraster"/>
        <w:tblW w:w="0" w:type="auto"/>
        <w:tblInd w:w="0" w:type="dxa"/>
        <w:tblLook w:firstRow="1" w:lastRow="0" w:firstColumn="1" w:lastColumn="0" w:noHBand="0" w:noVBand="1" w:val="04A0"/>
      </w:tblPr>
      <w:tblGrid>
        <w:gridCol w:w="9742"/>
      </w:tblGrid>
      <w:tr w:rsidR="00BF6E17" w:rsidTr="00BF6E17" w14:paraId="648BDD53" w14:textId="77777777">
        <w:tc>
          <w:tcPr>
            <w:tcW w:w="9742" w:type="dxa"/>
          </w:tcPr>
          <w:p w:rsidR="00BF6E17" w:rsidP="00BF6E17" w:rsidRDefault="00BF6E17" w14:paraId="282E6617" w14:textId="77777777">
            <w:pPr>
              <w:spacing w:line="276" w:lineRule="auto"/>
            </w:pPr>
          </w:p>
          <w:p w:rsidR="00252448" w:rsidP="00BF6E17" w:rsidRDefault="00252448" w14:paraId="18F405B6" w14:textId="77777777">
            <w:pPr>
              <w:spacing w:line="276" w:lineRule="auto"/>
            </w:pPr>
          </w:p>
        </w:tc>
      </w:tr>
    </w:tbl>
    <w:p w:rsidRPr="00BF6E17" w:rsidR="00BF6E17" w:rsidP="00BF6E17" w:rsidRDefault="00BF6E17" w14:paraId="0B77B20F" w14:textId="77777777">
      <w:pPr>
        <w:spacing w:line="276" w:lineRule="auto"/>
      </w:pPr>
    </w:p>
    <w:p w:rsidRPr="00BF6E17" w:rsidR="00BF6E17" w:rsidP="00BF6E17" w:rsidRDefault="00BF6E17" w14:paraId="22B5D367" w14:textId="77777777">
      <w:pPr>
        <w:pStyle w:val="Lijstalinea"/>
        <w:numPr>
          <w:ilvl w:val="0"/>
          <w:numId w:val="6"/>
        </w:numPr>
        <w:autoSpaceDN w:val="false"/>
        <w:spacing w:after="0" w:line="276" w:lineRule="auto"/>
        <w:textAlignment w:val="baseline"/>
        <w:rPr>
          <w:b/>
          <w:bCs/>
        </w:rPr>
      </w:pPr>
      <w:r w:rsidRPr="00BF6E17">
        <w:rPr>
          <w:b/>
          <w:bCs/>
        </w:rPr>
        <w:t>Omvang</w:t>
      </w:r>
    </w:p>
    <w:p w:rsidRPr="003B51EA" w:rsidR="00BF6E17" w:rsidP="00BF6E17" w:rsidRDefault="00F61F2B" w14:paraId="347BD5E2" w14:textId="7D3B30B9">
      <w:pPr>
        <w:spacing w:line="276" w:lineRule="auto"/>
        <w:rPr>
          <w:i/>
          <w:iCs/>
          <w:sz w:val="16"/>
          <w:szCs w:val="16"/>
        </w:rPr>
      </w:pPr>
      <w:r w:rsidRPr="00C036D6">
        <w:rPr>
          <w:i/>
          <w:iCs/>
          <w:sz w:val="16"/>
          <w:szCs w:val="16"/>
        </w:rPr>
        <w:t xml:space="preserve">Geef aan wat de financiële omvang van het bestemmingsfonds is. </w:t>
      </w:r>
      <w:r w:rsidR="005A262B">
        <w:rPr>
          <w:i/>
          <w:iCs/>
          <w:sz w:val="16"/>
          <w:szCs w:val="16"/>
        </w:rPr>
        <w:t xml:space="preserve">Aanvragen en </w:t>
      </w:r>
      <w:r w:rsidR="009D420A">
        <w:rPr>
          <w:i/>
          <w:iCs/>
          <w:sz w:val="16"/>
          <w:szCs w:val="16"/>
        </w:rPr>
        <w:t xml:space="preserve">beheren van een bestemmingsfonds kost tijd en inzet, dit moet in verhouding staan tot de omvang van het fonds. </w:t>
      </w:r>
      <w:r w:rsidR="006F7962">
        <w:rPr>
          <w:i/>
          <w:iCs/>
          <w:sz w:val="16"/>
          <w:szCs w:val="16"/>
        </w:rPr>
        <w:t>Als richtlijn kan worden aangehouden €1 miljoen euro of 1% van jaaromzet van het agentschap, welke van de twee bedragen het kleinste is.</w:t>
      </w:r>
    </w:p>
    <w:tbl>
      <w:tblPr>
        <w:tblStyle w:val="Tabelraster"/>
        <w:tblW w:w="0" w:type="auto"/>
        <w:tblInd w:w="0" w:type="dxa"/>
        <w:tblLook w:firstRow="1" w:lastRow="0" w:firstColumn="1" w:lastColumn="0" w:noHBand="0" w:noVBand="1" w:val="04A0"/>
      </w:tblPr>
      <w:tblGrid>
        <w:gridCol w:w="9742"/>
      </w:tblGrid>
      <w:tr w:rsidR="00BF6E17" w:rsidTr="00BF6E17" w14:paraId="2C1EB613" w14:textId="77777777">
        <w:tc>
          <w:tcPr>
            <w:tcW w:w="9742" w:type="dxa"/>
          </w:tcPr>
          <w:p w:rsidR="00BF6E17" w:rsidP="00BF6E17" w:rsidRDefault="00BF6E17" w14:paraId="405DA05B" w14:textId="77777777">
            <w:pPr>
              <w:spacing w:line="276" w:lineRule="auto"/>
            </w:pPr>
          </w:p>
          <w:p w:rsidR="00252448" w:rsidP="00BF6E17" w:rsidRDefault="00252448" w14:paraId="67F138D8" w14:textId="77777777">
            <w:pPr>
              <w:spacing w:line="276" w:lineRule="auto"/>
            </w:pPr>
          </w:p>
        </w:tc>
      </w:tr>
    </w:tbl>
    <w:p w:rsidR="00BF6E17" w:rsidP="00BF6E17" w:rsidRDefault="00BF6E17" w14:paraId="2554D9B1" w14:textId="77777777">
      <w:pPr>
        <w:spacing w:line="276" w:lineRule="auto"/>
      </w:pPr>
    </w:p>
    <w:p w:rsidRPr="004E5EA3" w:rsidR="00BF6E17" w:rsidP="004E5EA3" w:rsidRDefault="004E5EA3" w14:paraId="75F1512E" w14:textId="56E188DE">
      <w:pPr>
        <w:pStyle w:val="Lijstalinea"/>
        <w:numPr>
          <w:ilvl w:val="0"/>
          <w:numId w:val="6"/>
        </w:numPr>
        <w:autoSpaceDN w:val="false"/>
        <w:spacing w:after="0" w:line="276" w:lineRule="auto"/>
        <w:textAlignment w:val="baseline"/>
        <w:rPr>
          <w:b/>
          <w:bCs/>
        </w:rPr>
      </w:pPr>
      <w:r>
        <w:rPr>
          <w:b/>
          <w:bCs/>
        </w:rPr>
        <w:lastRenderedPageBreak/>
        <w:t>De financiering komt voornamelijk vanuit externe bronnen</w:t>
      </w:r>
    </w:p>
    <w:p w:rsidRPr="004E5EA3" w:rsidR="004E5EA3" w:rsidP="004E5EA3" w:rsidRDefault="00F61F2B" w14:paraId="077DD924" w14:textId="421C4083">
      <w:pPr>
        <w:spacing w:line="276" w:lineRule="auto"/>
        <w:rPr>
          <w:i/>
          <w:iCs/>
          <w:sz w:val="16"/>
          <w:szCs w:val="16"/>
        </w:rPr>
      </w:pPr>
      <w:r w:rsidRPr="00F61F2B">
        <w:rPr>
          <w:i/>
          <w:iCs/>
          <w:sz w:val="16"/>
          <w:szCs w:val="20"/>
        </w:rPr>
        <w:t>Geef een toelichting op de financiering vanuit externe bronnen, rekening houdend met de volgende voorwaarden:</w:t>
      </w:r>
      <w:r>
        <w:rPr>
          <w:i/>
          <w:iCs/>
          <w:sz w:val="16"/>
          <w:szCs w:val="20"/>
        </w:rPr>
        <w:t xml:space="preserve"> </w:t>
      </w:r>
      <w:r>
        <w:rPr>
          <w:i/>
          <w:iCs/>
          <w:sz w:val="16"/>
          <w:szCs w:val="20"/>
        </w:rPr>
        <w:br/>
      </w:r>
      <w:r w:rsidRPr="004E5EA3" w:rsidR="00BF6E17">
        <w:rPr>
          <w:i/>
          <w:iCs/>
          <w:sz w:val="16"/>
          <w:szCs w:val="20"/>
        </w:rPr>
        <w:t>De vulling komt voor minimaal 50</w:t>
      </w:r>
      <w:r w:rsidRPr="004E5EA3" w:rsidR="004E5EA3">
        <w:rPr>
          <w:i/>
          <w:iCs/>
          <w:sz w:val="16"/>
          <w:szCs w:val="20"/>
        </w:rPr>
        <w:t xml:space="preserve"> procent</w:t>
      </w:r>
      <w:r w:rsidRPr="004E5EA3" w:rsidR="00BF6E17">
        <w:rPr>
          <w:i/>
          <w:iCs/>
          <w:sz w:val="16"/>
          <w:szCs w:val="20"/>
        </w:rPr>
        <w:t xml:space="preserve"> vanuit externe bronnen. Externe bronnen wil zeggen: niet het eigen vermogen of het resultaat van het agentschap. Een externe bron kan dus zijn bestaande beleidsverantwoordelijke(n) die specifiek hiervoor financiering toezegge</w:t>
      </w:r>
      <w:r w:rsidR="00252448">
        <w:rPr>
          <w:i/>
          <w:iCs/>
          <w:sz w:val="16"/>
          <w:szCs w:val="20"/>
        </w:rPr>
        <w:t>n</w:t>
      </w:r>
      <w:r w:rsidRPr="004E5EA3" w:rsidR="00BF6E17">
        <w:rPr>
          <w:i/>
          <w:iCs/>
          <w:sz w:val="16"/>
          <w:szCs w:val="20"/>
        </w:rPr>
        <w:t xml:space="preserve"> maar het kan ook bijvoorbeeld aanvullende middelen betreffen die door de politiek zijn </w:t>
      </w:r>
      <w:r w:rsidR="004E5EA3">
        <w:rPr>
          <w:i/>
          <w:iCs/>
          <w:sz w:val="16"/>
          <w:szCs w:val="20"/>
        </w:rPr>
        <w:t>toegezegd en via de continuïteitsverantwoordelijke lopen</w:t>
      </w:r>
      <w:r w:rsidRPr="004E5EA3" w:rsidR="00BF6E17">
        <w:rPr>
          <w:i/>
          <w:iCs/>
          <w:sz w:val="16"/>
          <w:szCs w:val="20"/>
        </w:rPr>
        <w:t>.</w:t>
      </w:r>
      <w:r w:rsidR="00F26F34">
        <w:rPr>
          <w:rStyle w:val="Voetnootmarkering"/>
          <w:i/>
          <w:iCs/>
          <w:sz w:val="16"/>
          <w:szCs w:val="20"/>
        </w:rPr>
        <w:footnoteReference w:id="1"/>
      </w:r>
      <w:r w:rsidRPr="004E5EA3" w:rsidR="00BF6E17">
        <w:rPr>
          <w:i/>
          <w:iCs/>
          <w:sz w:val="16"/>
          <w:szCs w:val="20"/>
        </w:rPr>
        <w:t xml:space="preserve"> </w:t>
      </w:r>
      <w:r w:rsidR="00252448">
        <w:rPr>
          <w:i/>
          <w:iCs/>
          <w:sz w:val="16"/>
          <w:szCs w:val="20"/>
        </w:rPr>
        <w:t xml:space="preserve">Externe financiering </w:t>
      </w:r>
      <w:r w:rsidR="00252448">
        <w:rPr>
          <w:i/>
          <w:iCs/>
          <w:sz w:val="16"/>
          <w:szCs w:val="16"/>
        </w:rPr>
        <w:t>voorkomt</w:t>
      </w:r>
      <w:r w:rsidRPr="004E5EA3" w:rsidR="00252448">
        <w:rPr>
          <w:i/>
          <w:iCs/>
          <w:sz w:val="16"/>
          <w:szCs w:val="16"/>
        </w:rPr>
        <w:t xml:space="preserve"> </w:t>
      </w:r>
      <w:r w:rsidR="00252448">
        <w:rPr>
          <w:i/>
          <w:iCs/>
          <w:sz w:val="16"/>
          <w:szCs w:val="16"/>
        </w:rPr>
        <w:t xml:space="preserve">dat er </w:t>
      </w:r>
      <w:r w:rsidRPr="004E5EA3" w:rsidR="00252448">
        <w:rPr>
          <w:i/>
          <w:iCs/>
          <w:sz w:val="16"/>
          <w:szCs w:val="16"/>
        </w:rPr>
        <w:t>prikkel</w:t>
      </w:r>
      <w:r w:rsidR="00252448">
        <w:rPr>
          <w:i/>
          <w:iCs/>
          <w:sz w:val="16"/>
          <w:szCs w:val="16"/>
        </w:rPr>
        <w:t>s</w:t>
      </w:r>
      <w:r w:rsidRPr="004E5EA3" w:rsidR="00252448">
        <w:rPr>
          <w:i/>
          <w:iCs/>
          <w:sz w:val="16"/>
          <w:szCs w:val="16"/>
        </w:rPr>
        <w:t xml:space="preserve"> ontstaa</w:t>
      </w:r>
      <w:r w:rsidR="00252448">
        <w:rPr>
          <w:i/>
          <w:iCs/>
          <w:sz w:val="16"/>
          <w:szCs w:val="16"/>
        </w:rPr>
        <w:t>n</w:t>
      </w:r>
      <w:r w:rsidRPr="004E5EA3" w:rsidR="00252448">
        <w:rPr>
          <w:i/>
          <w:iCs/>
          <w:sz w:val="16"/>
          <w:szCs w:val="16"/>
        </w:rPr>
        <w:t xml:space="preserve"> </w:t>
      </w:r>
      <w:r w:rsidR="00252448">
        <w:rPr>
          <w:i/>
          <w:iCs/>
          <w:sz w:val="16"/>
          <w:szCs w:val="16"/>
        </w:rPr>
        <w:t>in de zin van</w:t>
      </w:r>
      <w:r w:rsidRPr="004E5EA3" w:rsidR="00252448">
        <w:rPr>
          <w:i/>
          <w:iCs/>
          <w:sz w:val="16"/>
          <w:szCs w:val="16"/>
        </w:rPr>
        <w:t xml:space="preserve"> “resultaat zoekt bestemming</w:t>
      </w:r>
      <w:r w:rsidR="00D54AF3">
        <w:rPr>
          <w:i/>
          <w:iCs/>
          <w:sz w:val="16"/>
          <w:szCs w:val="16"/>
        </w:rPr>
        <w:t>”</w:t>
      </w:r>
      <w:r w:rsidR="00252448">
        <w:rPr>
          <w:i/>
          <w:iCs/>
          <w:sz w:val="16"/>
          <w:szCs w:val="16"/>
        </w:rPr>
        <w:t>.</w:t>
      </w:r>
      <w:r w:rsidR="00465B2B">
        <w:rPr>
          <w:i/>
          <w:iCs/>
          <w:sz w:val="16"/>
          <w:szCs w:val="16"/>
        </w:rPr>
        <w:t xml:space="preserve"> De bronnen en verdeling van financiering </w:t>
      </w:r>
      <w:r w:rsidR="00067790">
        <w:rPr>
          <w:i/>
          <w:iCs/>
          <w:sz w:val="16"/>
          <w:szCs w:val="16"/>
        </w:rPr>
        <w:t>worden</w:t>
      </w:r>
      <w:r w:rsidR="00465B2B">
        <w:rPr>
          <w:i/>
          <w:iCs/>
          <w:sz w:val="16"/>
          <w:szCs w:val="16"/>
        </w:rPr>
        <w:t xml:space="preserve"> toegelicht.</w:t>
      </w:r>
    </w:p>
    <w:tbl>
      <w:tblPr>
        <w:tblStyle w:val="Tabelraster"/>
        <w:tblW w:w="0" w:type="auto"/>
        <w:tblInd w:w="0" w:type="dxa"/>
        <w:tblLook w:firstRow="1" w:lastRow="0" w:firstColumn="1" w:lastColumn="0" w:noHBand="0" w:noVBand="1" w:val="04A0"/>
      </w:tblPr>
      <w:tblGrid>
        <w:gridCol w:w="9742"/>
      </w:tblGrid>
      <w:tr w:rsidR="004E5EA3" w:rsidTr="004E5EA3" w14:paraId="5A19F2FD" w14:textId="77777777">
        <w:tc>
          <w:tcPr>
            <w:tcW w:w="9742" w:type="dxa"/>
          </w:tcPr>
          <w:p w:rsidR="004E5EA3" w:rsidP="004E5EA3" w:rsidRDefault="004E5EA3" w14:paraId="6CCD1EB9" w14:textId="77777777">
            <w:pPr>
              <w:spacing w:line="276" w:lineRule="auto"/>
              <w:rPr>
                <w:szCs w:val="22"/>
              </w:rPr>
            </w:pPr>
          </w:p>
          <w:p w:rsidR="00252448" w:rsidP="004E5EA3" w:rsidRDefault="00252448" w14:paraId="1AF59320" w14:textId="77777777">
            <w:pPr>
              <w:spacing w:line="276" w:lineRule="auto"/>
              <w:rPr>
                <w:szCs w:val="22"/>
              </w:rPr>
            </w:pPr>
          </w:p>
        </w:tc>
      </w:tr>
    </w:tbl>
    <w:p w:rsidRPr="004E5EA3" w:rsidR="004E5EA3" w:rsidP="004E5EA3" w:rsidRDefault="004E5EA3" w14:paraId="509C028B" w14:textId="77777777">
      <w:pPr>
        <w:spacing w:line="276" w:lineRule="auto"/>
        <w:rPr>
          <w:szCs w:val="22"/>
        </w:rPr>
      </w:pPr>
    </w:p>
    <w:p w:rsidRPr="004E5EA3" w:rsidR="004E5EA3" w:rsidP="004E5EA3" w:rsidRDefault="004E5EA3" w14:paraId="75F91D7D" w14:textId="4FD2354B">
      <w:pPr>
        <w:pStyle w:val="Lijstalinea"/>
        <w:numPr>
          <w:ilvl w:val="0"/>
          <w:numId w:val="6"/>
        </w:numPr>
        <w:autoSpaceDN w:val="false"/>
        <w:spacing w:after="0" w:line="276" w:lineRule="auto"/>
        <w:textAlignment w:val="baseline"/>
        <w:rPr>
          <w:b/>
          <w:bCs/>
        </w:rPr>
      </w:pPr>
      <w:r>
        <w:rPr>
          <w:b/>
          <w:bCs/>
        </w:rPr>
        <w:t>Ex ante afspraken o</w:t>
      </w:r>
      <w:r w:rsidR="00067790">
        <w:rPr>
          <w:b/>
          <w:bCs/>
        </w:rPr>
        <w:t>ver</w:t>
      </w:r>
      <w:r>
        <w:rPr>
          <w:b/>
          <w:bCs/>
        </w:rPr>
        <w:t xml:space="preserve"> wijze van vulling</w:t>
      </w:r>
      <w:r w:rsidR="00067790">
        <w:rPr>
          <w:b/>
          <w:bCs/>
        </w:rPr>
        <w:t xml:space="preserve"> en </w:t>
      </w:r>
      <w:r w:rsidR="00314395">
        <w:rPr>
          <w:b/>
          <w:bCs/>
        </w:rPr>
        <w:t>onttrekking</w:t>
      </w:r>
    </w:p>
    <w:p w:rsidR="004E5EA3" w:rsidP="004E5EA3" w:rsidRDefault="00F61F2B" w14:paraId="31FE8086" w14:textId="5E8C708C">
      <w:pPr>
        <w:spacing w:line="276" w:lineRule="auto"/>
        <w:rPr>
          <w:i/>
          <w:iCs/>
          <w:sz w:val="16"/>
          <w:szCs w:val="16"/>
        </w:rPr>
      </w:pPr>
      <w:r w:rsidRPr="00F61F2B">
        <w:rPr>
          <w:i/>
          <w:iCs/>
          <w:sz w:val="16"/>
          <w:szCs w:val="16"/>
        </w:rPr>
        <w:t>Geef een toelichting op de gemaakte afspraken over het bestemmingsfonds, rekening houdend met de volgende voorwaarden:</w:t>
      </w:r>
      <w:r>
        <w:rPr>
          <w:i/>
          <w:iCs/>
          <w:sz w:val="16"/>
          <w:szCs w:val="16"/>
        </w:rPr>
        <w:br/>
      </w:r>
      <w:r w:rsidR="004E5EA3">
        <w:rPr>
          <w:i/>
          <w:iCs/>
          <w:sz w:val="16"/>
          <w:szCs w:val="16"/>
        </w:rPr>
        <w:t>V</w:t>
      </w:r>
      <w:r w:rsidRPr="004E5EA3" w:rsidR="00BF6E17">
        <w:rPr>
          <w:i/>
          <w:iCs/>
          <w:sz w:val="16"/>
          <w:szCs w:val="16"/>
        </w:rPr>
        <w:t xml:space="preserve">oorafgaand aan de vorming van </w:t>
      </w:r>
      <w:r w:rsidR="004E5EA3">
        <w:rPr>
          <w:i/>
          <w:iCs/>
          <w:sz w:val="16"/>
          <w:szCs w:val="16"/>
        </w:rPr>
        <w:t>het</w:t>
      </w:r>
      <w:r w:rsidRPr="004E5EA3" w:rsidR="00BF6E17">
        <w:rPr>
          <w:i/>
          <w:iCs/>
          <w:sz w:val="16"/>
          <w:szCs w:val="16"/>
        </w:rPr>
        <w:t xml:space="preserve"> fonds</w:t>
      </w:r>
      <w:r w:rsidR="004E5EA3">
        <w:rPr>
          <w:i/>
          <w:iCs/>
          <w:sz w:val="16"/>
          <w:szCs w:val="16"/>
        </w:rPr>
        <w:t xml:space="preserve"> zijn</w:t>
      </w:r>
      <w:r w:rsidRPr="004E5EA3" w:rsidR="00BF6E17">
        <w:rPr>
          <w:i/>
          <w:iCs/>
          <w:sz w:val="16"/>
          <w:szCs w:val="16"/>
        </w:rPr>
        <w:t xml:space="preserve"> afspraken gemaakt </w:t>
      </w:r>
      <w:r w:rsidR="00252448">
        <w:rPr>
          <w:i/>
          <w:iCs/>
          <w:sz w:val="16"/>
          <w:szCs w:val="16"/>
        </w:rPr>
        <w:t>tussen het agentschap, de</w:t>
      </w:r>
      <w:r w:rsidRPr="004E5EA3" w:rsidR="00BF6E17">
        <w:rPr>
          <w:i/>
          <w:iCs/>
          <w:sz w:val="16"/>
          <w:szCs w:val="16"/>
        </w:rPr>
        <w:t xml:space="preserve"> externe partijen/opdrachtgevers</w:t>
      </w:r>
      <w:r w:rsidR="00252448">
        <w:rPr>
          <w:i/>
          <w:iCs/>
          <w:sz w:val="16"/>
          <w:szCs w:val="16"/>
        </w:rPr>
        <w:t xml:space="preserve"> en de continuïteitsverantwoordelijke </w:t>
      </w:r>
      <w:r w:rsidRPr="004E5EA3" w:rsidR="00BF6E17">
        <w:rPr>
          <w:i/>
          <w:iCs/>
          <w:sz w:val="16"/>
          <w:szCs w:val="16"/>
        </w:rPr>
        <w:t xml:space="preserve">over </w:t>
      </w:r>
      <w:r w:rsidR="00067790">
        <w:rPr>
          <w:i/>
          <w:iCs/>
          <w:sz w:val="16"/>
          <w:szCs w:val="16"/>
        </w:rPr>
        <w:t xml:space="preserve">1) </w:t>
      </w:r>
      <w:r w:rsidRPr="004E5EA3" w:rsidR="00BF6E17">
        <w:rPr>
          <w:i/>
          <w:iCs/>
          <w:sz w:val="16"/>
          <w:szCs w:val="16"/>
        </w:rPr>
        <w:t>de hoogte</w:t>
      </w:r>
      <w:r w:rsidR="00067790">
        <w:rPr>
          <w:i/>
          <w:iCs/>
          <w:sz w:val="16"/>
          <w:szCs w:val="16"/>
        </w:rPr>
        <w:t>, de</w:t>
      </w:r>
      <w:r w:rsidRPr="004E5EA3" w:rsidR="00BF6E17">
        <w:rPr>
          <w:i/>
          <w:iCs/>
          <w:sz w:val="16"/>
          <w:szCs w:val="16"/>
        </w:rPr>
        <w:t xml:space="preserve"> wijze </w:t>
      </w:r>
      <w:r w:rsidR="00067790">
        <w:rPr>
          <w:i/>
          <w:iCs/>
          <w:sz w:val="16"/>
          <w:szCs w:val="16"/>
        </w:rPr>
        <w:t xml:space="preserve">en de timing </w:t>
      </w:r>
      <w:r w:rsidRPr="004E5EA3" w:rsidR="00BF6E17">
        <w:rPr>
          <w:i/>
          <w:iCs/>
          <w:sz w:val="16"/>
          <w:szCs w:val="16"/>
        </w:rPr>
        <w:t>van bijdragen</w:t>
      </w:r>
      <w:r w:rsidR="00067790">
        <w:rPr>
          <w:i/>
          <w:iCs/>
          <w:sz w:val="16"/>
          <w:szCs w:val="16"/>
        </w:rPr>
        <w:t xml:space="preserve"> en 2) over de </w:t>
      </w:r>
      <w:proofErr w:type="spellStart"/>
      <w:r w:rsidR="00067790">
        <w:rPr>
          <w:i/>
          <w:iCs/>
          <w:sz w:val="16"/>
          <w:szCs w:val="16"/>
        </w:rPr>
        <w:t>governance</w:t>
      </w:r>
      <w:proofErr w:type="spellEnd"/>
      <w:r w:rsidR="00067790">
        <w:rPr>
          <w:i/>
          <w:iCs/>
          <w:sz w:val="16"/>
          <w:szCs w:val="16"/>
        </w:rPr>
        <w:t xml:space="preserve"> tijdens de looptijd: wie beslist over onttrekking en hoe worden onttrekking gemonitord</w:t>
      </w:r>
      <w:r w:rsidRPr="004E5EA3" w:rsidR="00BF6E17">
        <w:rPr>
          <w:i/>
          <w:iCs/>
          <w:sz w:val="16"/>
          <w:szCs w:val="16"/>
        </w:rPr>
        <w:t xml:space="preserve">. </w:t>
      </w:r>
      <w:r w:rsidRPr="004E5EA3" w:rsidR="004E5EA3">
        <w:rPr>
          <w:i/>
          <w:iCs/>
          <w:sz w:val="16"/>
          <w:szCs w:val="16"/>
        </w:rPr>
        <w:t>Idealiter gebeurt dit in t-1 maar uiterlijk voor de voorjaarsbesluitvorming in jaar t</w:t>
      </w:r>
      <w:r w:rsidR="00067790">
        <w:rPr>
          <w:i/>
          <w:iCs/>
          <w:sz w:val="16"/>
          <w:szCs w:val="16"/>
        </w:rPr>
        <w:t>, voorafgaand aan de aanvraag.</w:t>
      </w:r>
      <w:r>
        <w:rPr>
          <w:i/>
          <w:iCs/>
          <w:sz w:val="16"/>
          <w:szCs w:val="16"/>
        </w:rPr>
        <w:t xml:space="preserve"> Over de wijze van vulling en onttrekking dient ook verantwoording worden afgelegd in het jaarverslag conform Richtlijnen voor de Jaarverslaggeving.</w:t>
      </w:r>
    </w:p>
    <w:tbl>
      <w:tblPr>
        <w:tblStyle w:val="Tabelraster"/>
        <w:tblW w:w="0" w:type="auto"/>
        <w:tblInd w:w="0" w:type="dxa"/>
        <w:tblLook w:firstRow="1" w:lastRow="0" w:firstColumn="1" w:lastColumn="0" w:noHBand="0" w:noVBand="1" w:val="04A0"/>
      </w:tblPr>
      <w:tblGrid>
        <w:gridCol w:w="9742"/>
      </w:tblGrid>
      <w:tr w:rsidR="004E5EA3" w:rsidTr="004E5EA3" w14:paraId="01AC858A" w14:textId="77777777">
        <w:tc>
          <w:tcPr>
            <w:tcW w:w="9742" w:type="dxa"/>
          </w:tcPr>
          <w:p w:rsidR="004E5EA3" w:rsidP="004E5EA3" w:rsidRDefault="004E5EA3" w14:paraId="3E857F73" w14:textId="77777777">
            <w:pPr>
              <w:spacing w:line="276" w:lineRule="auto"/>
              <w:rPr>
                <w:sz w:val="16"/>
                <w:szCs w:val="16"/>
              </w:rPr>
            </w:pPr>
          </w:p>
          <w:p w:rsidR="00252448" w:rsidP="004E5EA3" w:rsidRDefault="00252448" w14:paraId="2E760BB9" w14:textId="77777777">
            <w:pPr>
              <w:spacing w:line="276" w:lineRule="auto"/>
              <w:rPr>
                <w:sz w:val="16"/>
                <w:szCs w:val="16"/>
              </w:rPr>
            </w:pPr>
          </w:p>
        </w:tc>
      </w:tr>
    </w:tbl>
    <w:p w:rsidRPr="004E5EA3" w:rsidR="004E5EA3" w:rsidP="004E5EA3" w:rsidRDefault="004E5EA3" w14:paraId="662137BE" w14:textId="77777777">
      <w:pPr>
        <w:spacing w:line="276" w:lineRule="auto"/>
        <w:rPr>
          <w:sz w:val="16"/>
          <w:szCs w:val="16"/>
        </w:rPr>
      </w:pPr>
    </w:p>
    <w:p w:rsidRPr="004E5EA3" w:rsidR="004E5EA3" w:rsidP="004E5EA3" w:rsidRDefault="00D54AF3" w14:paraId="503BAF1C" w14:textId="2F00E730">
      <w:pPr>
        <w:pStyle w:val="Lijstalinea"/>
        <w:numPr>
          <w:ilvl w:val="0"/>
          <w:numId w:val="6"/>
        </w:numPr>
        <w:autoSpaceDN w:val="false"/>
        <w:spacing w:after="0" w:line="276" w:lineRule="auto"/>
        <w:textAlignment w:val="baseline"/>
        <w:rPr>
          <w:b/>
          <w:bCs/>
        </w:rPr>
      </w:pPr>
      <w:r>
        <w:rPr>
          <w:b/>
          <w:bCs/>
        </w:rPr>
        <w:t>Bestedingsplan</w:t>
      </w:r>
    </w:p>
    <w:p w:rsidRPr="004E5EA3" w:rsidR="00BF6E17" w:rsidP="004E5EA3" w:rsidRDefault="00F61F2B" w14:paraId="7AC9DB09" w14:textId="6C147723">
      <w:pPr>
        <w:spacing w:line="276" w:lineRule="auto"/>
        <w:rPr>
          <w:i/>
          <w:iCs/>
          <w:sz w:val="16"/>
          <w:szCs w:val="16"/>
        </w:rPr>
      </w:pPr>
      <w:r>
        <w:rPr>
          <w:i/>
          <w:iCs/>
          <w:sz w:val="16"/>
          <w:szCs w:val="16"/>
        </w:rPr>
        <w:t>Geef een</w:t>
      </w:r>
      <w:r w:rsidRPr="004E5EA3" w:rsidR="00BF6E17">
        <w:rPr>
          <w:i/>
          <w:iCs/>
          <w:sz w:val="16"/>
          <w:szCs w:val="16"/>
        </w:rPr>
        <w:t xml:space="preserve"> </w:t>
      </w:r>
      <w:r w:rsidR="00252448">
        <w:rPr>
          <w:i/>
          <w:iCs/>
          <w:sz w:val="16"/>
          <w:szCs w:val="16"/>
        </w:rPr>
        <w:t>onderbouwing</w:t>
      </w:r>
      <w:r w:rsidRPr="004E5EA3" w:rsidR="00BF6E17">
        <w:rPr>
          <w:i/>
          <w:iCs/>
          <w:sz w:val="16"/>
          <w:szCs w:val="16"/>
        </w:rPr>
        <w:t xml:space="preserve"> van de verwachte onttrekkingen</w:t>
      </w:r>
      <w:r w:rsidR="00452E42">
        <w:rPr>
          <w:i/>
          <w:iCs/>
          <w:sz w:val="16"/>
          <w:szCs w:val="16"/>
        </w:rPr>
        <w:t xml:space="preserve"> (zie punt 6)</w:t>
      </w:r>
      <w:r w:rsidRPr="004E5EA3" w:rsidR="00BF6E17">
        <w:rPr>
          <w:i/>
          <w:iCs/>
          <w:sz w:val="16"/>
          <w:szCs w:val="16"/>
        </w:rPr>
        <w:t>, bijvoorbeeld middels een bestedingsplan.</w:t>
      </w:r>
      <w:r w:rsidR="0020731C">
        <w:rPr>
          <w:i/>
          <w:iCs/>
          <w:sz w:val="16"/>
          <w:szCs w:val="16"/>
        </w:rPr>
        <w:t xml:space="preserve"> Deze dient als bijlage bij dit formulier toegevoegd te worden.</w:t>
      </w:r>
    </w:p>
    <w:tbl>
      <w:tblPr>
        <w:tblStyle w:val="Tabelraster"/>
        <w:tblW w:w="0" w:type="auto"/>
        <w:tblInd w:w="0" w:type="dxa"/>
        <w:tblLook w:firstRow="1" w:lastRow="0" w:firstColumn="1" w:lastColumn="0" w:noHBand="0" w:noVBand="1" w:val="04A0"/>
      </w:tblPr>
      <w:tblGrid>
        <w:gridCol w:w="9742"/>
      </w:tblGrid>
      <w:tr w:rsidR="00BF6E17" w:rsidTr="00BF6E17" w14:paraId="79BE1620" w14:textId="77777777">
        <w:tc>
          <w:tcPr>
            <w:tcW w:w="9742" w:type="dxa"/>
          </w:tcPr>
          <w:p w:rsidR="00BF6E17" w:rsidP="00BF6E17" w:rsidRDefault="00BF6E17" w14:paraId="2DD16643" w14:textId="77777777">
            <w:pPr>
              <w:spacing w:line="276" w:lineRule="auto"/>
            </w:pPr>
          </w:p>
          <w:p w:rsidR="00252448" w:rsidP="00BF6E17" w:rsidRDefault="00252448" w14:paraId="3BF9D06F" w14:textId="77777777">
            <w:pPr>
              <w:spacing w:line="276" w:lineRule="auto"/>
            </w:pPr>
          </w:p>
        </w:tc>
      </w:tr>
    </w:tbl>
    <w:p w:rsidRPr="00016EB4" w:rsidR="00BF6E17" w:rsidP="00BF6E17" w:rsidRDefault="00BF6E17" w14:paraId="2CE4E853" w14:textId="77777777">
      <w:pPr>
        <w:spacing w:line="276" w:lineRule="auto"/>
      </w:pPr>
    </w:p>
    <w:p w:rsidRPr="00BF6E17" w:rsidR="00BF6E17" w:rsidP="004E5EA3" w:rsidRDefault="004E5EA3" w14:paraId="64B17BF6" w14:textId="3973F10A">
      <w:pPr>
        <w:pStyle w:val="Lijstalinea"/>
        <w:numPr>
          <w:ilvl w:val="0"/>
          <w:numId w:val="6"/>
        </w:numPr>
        <w:autoSpaceDN w:val="false"/>
        <w:spacing w:after="0" w:line="276" w:lineRule="auto"/>
        <w:textAlignment w:val="baseline"/>
        <w:rPr>
          <w:b/>
          <w:bCs/>
        </w:rPr>
      </w:pPr>
      <w:r>
        <w:rPr>
          <w:b/>
          <w:bCs/>
        </w:rPr>
        <w:t>Afspraken over r</w:t>
      </w:r>
      <w:r w:rsidRPr="00BF6E17" w:rsidR="00BF6E17">
        <w:rPr>
          <w:b/>
          <w:bCs/>
        </w:rPr>
        <w:t>esterend saldo</w:t>
      </w:r>
    </w:p>
    <w:p w:rsidRPr="00252448" w:rsidR="00BF6E17" w:rsidP="00BF6E17" w:rsidRDefault="00F61F2B" w14:paraId="07ED74F9" w14:textId="532407EA">
      <w:pPr>
        <w:spacing w:line="276" w:lineRule="auto"/>
        <w:rPr>
          <w:i/>
          <w:iCs/>
          <w:sz w:val="16"/>
          <w:szCs w:val="16"/>
        </w:rPr>
      </w:pPr>
      <w:r>
        <w:rPr>
          <w:i/>
          <w:iCs/>
          <w:sz w:val="16"/>
          <w:szCs w:val="16"/>
        </w:rPr>
        <w:t>Geef aan welke</w:t>
      </w:r>
      <w:r w:rsidRPr="00252448">
        <w:rPr>
          <w:i/>
          <w:iCs/>
          <w:sz w:val="16"/>
          <w:szCs w:val="16"/>
        </w:rPr>
        <w:t xml:space="preserve"> afspraken</w:t>
      </w:r>
      <w:r>
        <w:rPr>
          <w:i/>
          <w:iCs/>
          <w:sz w:val="16"/>
          <w:szCs w:val="16"/>
        </w:rPr>
        <w:t xml:space="preserve"> zijn gemaakt</w:t>
      </w:r>
      <w:r w:rsidRPr="00252448" w:rsidR="00BF6E17">
        <w:rPr>
          <w:i/>
          <w:iCs/>
          <w:sz w:val="16"/>
          <w:szCs w:val="16"/>
        </w:rPr>
        <w:t xml:space="preserve"> over wat er gebeurt met een eventueel resterend saldo aan het einde van de looptijd. </w:t>
      </w:r>
      <w:r w:rsidR="00067790">
        <w:rPr>
          <w:i/>
          <w:iCs/>
          <w:sz w:val="16"/>
          <w:szCs w:val="16"/>
        </w:rPr>
        <w:t>Het uitgangspunt hierbij is</w:t>
      </w:r>
      <w:r w:rsidRPr="00252448" w:rsidR="00BF6E17">
        <w:rPr>
          <w:i/>
          <w:iCs/>
          <w:sz w:val="16"/>
          <w:szCs w:val="16"/>
        </w:rPr>
        <w:t xml:space="preserve"> dat </w:t>
      </w:r>
      <w:r w:rsidR="004023A8">
        <w:rPr>
          <w:i/>
          <w:iCs/>
          <w:sz w:val="16"/>
          <w:szCs w:val="16"/>
        </w:rPr>
        <w:t>eventuele</w:t>
      </w:r>
      <w:r w:rsidRPr="00252448" w:rsidR="00BF6E17">
        <w:rPr>
          <w:i/>
          <w:iCs/>
          <w:sz w:val="16"/>
          <w:szCs w:val="16"/>
        </w:rPr>
        <w:t xml:space="preserve"> middelen terugvloeien naar de </w:t>
      </w:r>
      <w:r w:rsidR="006A5DBE">
        <w:rPr>
          <w:i/>
          <w:iCs/>
          <w:sz w:val="16"/>
          <w:szCs w:val="16"/>
        </w:rPr>
        <w:t xml:space="preserve">externe </w:t>
      </w:r>
      <w:r w:rsidR="00067790">
        <w:rPr>
          <w:i/>
          <w:iCs/>
          <w:sz w:val="16"/>
          <w:szCs w:val="16"/>
        </w:rPr>
        <w:t>financierende partij</w:t>
      </w:r>
      <w:r w:rsidRPr="00252448" w:rsidR="004E5EA3">
        <w:rPr>
          <w:i/>
          <w:iCs/>
          <w:sz w:val="16"/>
          <w:szCs w:val="16"/>
        </w:rPr>
        <w:t>(</w:t>
      </w:r>
      <w:r w:rsidR="00067790">
        <w:rPr>
          <w:i/>
          <w:iCs/>
          <w:sz w:val="16"/>
          <w:szCs w:val="16"/>
        </w:rPr>
        <w:t>e</w:t>
      </w:r>
      <w:r w:rsidRPr="00252448" w:rsidR="004E5EA3">
        <w:rPr>
          <w:i/>
          <w:iCs/>
          <w:sz w:val="16"/>
          <w:szCs w:val="16"/>
        </w:rPr>
        <w:t>n)</w:t>
      </w:r>
      <w:r w:rsidRPr="00252448" w:rsidR="00BF6E17">
        <w:rPr>
          <w:i/>
          <w:iCs/>
          <w:sz w:val="16"/>
          <w:szCs w:val="16"/>
        </w:rPr>
        <w:t>.</w:t>
      </w:r>
      <w:r w:rsidR="00067790">
        <w:rPr>
          <w:i/>
          <w:iCs/>
          <w:sz w:val="16"/>
          <w:szCs w:val="16"/>
        </w:rPr>
        <w:t xml:space="preserve"> </w:t>
      </w:r>
    </w:p>
    <w:tbl>
      <w:tblPr>
        <w:tblStyle w:val="Tabelraster"/>
        <w:tblW w:w="0" w:type="auto"/>
        <w:tblInd w:w="0" w:type="dxa"/>
        <w:tblLook w:firstRow="1" w:lastRow="0" w:firstColumn="1" w:lastColumn="0" w:noHBand="0" w:noVBand="1" w:val="04A0"/>
      </w:tblPr>
      <w:tblGrid>
        <w:gridCol w:w="9742"/>
      </w:tblGrid>
      <w:tr w:rsidR="00BF6E17" w:rsidTr="00BF6E17" w14:paraId="6288C203" w14:textId="77777777">
        <w:tc>
          <w:tcPr>
            <w:tcW w:w="9742" w:type="dxa"/>
          </w:tcPr>
          <w:p w:rsidR="00BF6E17" w:rsidP="00BF6E17" w:rsidRDefault="00BF6E17" w14:paraId="04583BDC" w14:textId="77777777">
            <w:pPr>
              <w:spacing w:line="276" w:lineRule="auto"/>
            </w:pPr>
          </w:p>
          <w:p w:rsidR="00252448" w:rsidP="00BF6E17" w:rsidRDefault="00252448" w14:paraId="0BD0C100" w14:textId="77777777">
            <w:pPr>
              <w:spacing w:line="276" w:lineRule="auto"/>
            </w:pPr>
          </w:p>
        </w:tc>
      </w:tr>
    </w:tbl>
    <w:p w:rsidRPr="00016EB4" w:rsidR="00BF6E17" w:rsidP="00BF6E17" w:rsidRDefault="00BF6E17" w14:paraId="5903967B" w14:textId="77777777">
      <w:pPr>
        <w:spacing w:line="240" w:lineRule="auto"/>
        <w:rPr>
          <w:rFonts w:ascii="Times New Roman" w:hAnsi="Times New Roman" w:cs="Times New Roman"/>
          <w:sz w:val="24"/>
          <w:szCs w:val="24"/>
        </w:rPr>
      </w:pPr>
    </w:p>
    <w:p w:rsidR="003B51EA" w:rsidP="00452E42" w:rsidRDefault="00BF6E17" w14:paraId="701FCA44" w14:textId="0FDD9A03">
      <w:pPr>
        <w:pStyle w:val="Standaardvet"/>
      </w:pPr>
      <w:r>
        <w:t>Ondertekening FEZ</w:t>
      </w:r>
    </w:p>
    <w:p w:rsidR="003B51EA" w:rsidP="003B51EA" w:rsidRDefault="003B51EA" w14:paraId="182D3E8D" w14:textId="2FA6EF21">
      <w:r>
        <w:t xml:space="preserve">Ondertekening directeur FEZ: </w:t>
      </w:r>
      <w:r>
        <w:tab/>
      </w:r>
      <w:r>
        <w:tab/>
      </w:r>
      <w:r>
        <w:tab/>
      </w:r>
      <w:r>
        <w:tab/>
        <w:t>Datum:</w:t>
      </w:r>
    </w:p>
    <w:tbl>
      <w:tblPr>
        <w:tblStyle w:val="Tabelraster"/>
        <w:tblW w:w="0" w:type="auto"/>
        <w:tblInd w:w="0" w:type="dxa"/>
        <w:tblLook w:firstRow="1" w:lastRow="0" w:firstColumn="1" w:lastColumn="0" w:noHBand="0" w:noVBand="1" w:val="04A0"/>
      </w:tblPr>
      <w:tblGrid>
        <w:gridCol w:w="4871"/>
        <w:gridCol w:w="4871"/>
      </w:tblGrid>
      <w:tr w:rsidR="003B51EA" w:rsidTr="003B51EA" w14:paraId="7DD34E31" w14:textId="77777777">
        <w:tc>
          <w:tcPr>
            <w:tcW w:w="4871" w:type="dxa"/>
          </w:tcPr>
          <w:p w:rsidR="00F26F34" w:rsidP="003B51EA" w:rsidRDefault="00F26F34" w14:paraId="3C2990FB" w14:textId="77777777"/>
          <w:p w:rsidR="00F61F2B" w:rsidP="003B51EA" w:rsidRDefault="00F61F2B" w14:paraId="6F46EAB5" w14:textId="77777777"/>
          <w:p w:rsidR="003B51EA" w:rsidP="003B51EA" w:rsidRDefault="003B51EA" w14:paraId="39837FB9" w14:textId="77777777"/>
        </w:tc>
        <w:tc>
          <w:tcPr>
            <w:tcW w:w="4871" w:type="dxa"/>
          </w:tcPr>
          <w:p w:rsidR="003B51EA" w:rsidP="003B51EA" w:rsidRDefault="003B51EA" w14:paraId="04C7BE11" w14:textId="77777777"/>
        </w:tc>
      </w:tr>
    </w:tbl>
    <w:p w:rsidR="00BF6E17" w:rsidP="00BF6E17" w:rsidRDefault="00BF6E17" w14:paraId="02166CFB" w14:textId="77777777"/>
    <w:p w:rsidR="00BF6E17" w:rsidP="00BF6E17" w:rsidRDefault="00BF6E17" w14:paraId="3BAF2988" w14:textId="39FFB7C0">
      <w:pPr>
        <w:pStyle w:val="Standaardvet"/>
      </w:pPr>
      <w:r>
        <w:t>Ondertekening IRF</w:t>
      </w:r>
    </w:p>
    <w:p w:rsidR="003B51EA" w:rsidP="003B51EA" w:rsidRDefault="005A262B" w14:paraId="7E1125C4" w14:textId="09CE5580">
      <w:r>
        <w:t>Goedgekeurd door:</w:t>
      </w:r>
      <w:r w:rsidR="003B51EA">
        <w:t xml:space="preserve"> </w:t>
      </w:r>
      <w:r w:rsidR="003B51EA">
        <w:tab/>
      </w:r>
      <w:r w:rsidR="003B51EA">
        <w:tab/>
      </w:r>
      <w:r w:rsidR="003B51EA">
        <w:tab/>
      </w:r>
      <w:r w:rsidR="003B51EA">
        <w:tab/>
      </w:r>
      <w:r w:rsidR="003B51EA">
        <w:tab/>
        <w:t>Datum:</w:t>
      </w:r>
    </w:p>
    <w:tbl>
      <w:tblPr>
        <w:tblStyle w:val="Tabelraster"/>
        <w:tblW w:w="0" w:type="auto"/>
        <w:tblInd w:w="0" w:type="dxa"/>
        <w:tblLook w:firstRow="1" w:lastRow="0" w:firstColumn="1" w:lastColumn="0" w:noHBand="0" w:noVBand="1" w:val="04A0"/>
      </w:tblPr>
      <w:tblGrid>
        <w:gridCol w:w="4871"/>
        <w:gridCol w:w="4871"/>
      </w:tblGrid>
      <w:tr w:rsidR="003B51EA" w:rsidTr="001728BA" w14:paraId="0B9480AF" w14:textId="77777777">
        <w:tc>
          <w:tcPr>
            <w:tcW w:w="4871" w:type="dxa"/>
          </w:tcPr>
          <w:p w:rsidR="003B51EA" w:rsidP="001728BA" w:rsidRDefault="003B51EA" w14:paraId="72E2CD41" w14:textId="77777777"/>
          <w:p w:rsidR="00F26F34" w:rsidP="001728BA" w:rsidRDefault="00F26F34" w14:paraId="3C670A68" w14:textId="77777777"/>
          <w:p w:rsidR="00F61F2B" w:rsidP="001728BA" w:rsidRDefault="00F61F2B" w14:paraId="05AECAF5" w14:textId="77777777"/>
        </w:tc>
        <w:tc>
          <w:tcPr>
            <w:tcW w:w="4871" w:type="dxa"/>
          </w:tcPr>
          <w:p w:rsidR="003B51EA" w:rsidP="001728BA" w:rsidRDefault="003B51EA" w14:paraId="1DACDC84" w14:textId="77777777"/>
        </w:tc>
      </w:tr>
    </w:tbl>
    <w:p w:rsidRPr="003B51EA" w:rsidR="003B51EA" w:rsidP="00F61F2B" w:rsidRDefault="003B51EA" w14:paraId="6FA73E62" w14:textId="77777777"/>
    <w:sectPr w:rsidRPr="003B51EA" w:rsidR="003B51EA">
      <w:headerReference w:type="even" r:id="rId10"/>
      <w:headerReference w:type="default" r:id="rId11"/>
      <w:footerReference w:type="even" r:id="rId12"/>
      <w:footerReference w:type="default" r:id="rId13"/>
      <w:headerReference w:type="first" r:id="rId14"/>
      <w:footerReference w:type="first" r:id="rId15"/>
      <w:pgSz w:w="11905" w:h="16837"/>
      <w:pgMar w:top="3095" w:right="566" w:bottom="1432"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013F" w14:textId="77777777" w:rsidR="00D8726C" w:rsidRDefault="00D8726C">
      <w:pPr>
        <w:spacing w:line="240" w:lineRule="auto"/>
      </w:pPr>
      <w:r>
        <w:separator/>
      </w:r>
    </w:p>
  </w:endnote>
  <w:endnote w:type="continuationSeparator" w:id="0">
    <w:p w14:paraId="0AC8B767" w14:textId="77777777" w:rsidR="00D8726C" w:rsidRDefault="00D87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8726C" w:rsidRDefault="00D8726C" w14:paraId="61D17BCF"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0154" w:rsidRDefault="00590154" w14:paraId="3C4BEEA9" w14:textId="77777777"/>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0154" w:rsidRDefault="00590154" w14:paraId="66EC454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4DAD" w14:textId="77777777" w:rsidR="00D8726C" w:rsidRDefault="00D8726C">
      <w:pPr>
        <w:spacing w:line="240" w:lineRule="auto"/>
      </w:pPr>
      <w:r>
        <w:separator/>
      </w:r>
    </w:p>
  </w:footnote>
  <w:footnote w:type="continuationSeparator" w:id="0">
    <w:p w14:paraId="1F89A30A" w14:textId="77777777" w:rsidR="00D8726C" w:rsidRDefault="00D8726C">
      <w:pPr>
        <w:spacing w:line="240" w:lineRule="auto"/>
      </w:pPr>
      <w:r>
        <w:continuationSeparator/>
      </w:r>
    </w:p>
  </w:footnote>
  <w:footnote w:id="1">
    <w:p w14:paraId="43202951" w14:textId="07761668" w:rsidR="00F26F34" w:rsidRDefault="00F26F34">
      <w:pPr>
        <w:pStyle w:val="Voetnoottekst"/>
      </w:pPr>
      <w:r w:rsidRPr="00F26F34">
        <w:rPr>
          <w:rStyle w:val="Voetnootmarkering"/>
          <w:sz w:val="16"/>
          <w:szCs w:val="16"/>
        </w:rPr>
        <w:footnoteRef/>
      </w:r>
      <w:r w:rsidRPr="00F26F34">
        <w:rPr>
          <w:sz w:val="16"/>
          <w:szCs w:val="16"/>
        </w:rPr>
        <w:t xml:space="preserve"> In dat geval dient de continuïteitsverantwoordelijke als </w:t>
      </w:r>
      <w:r w:rsidR="000A1A5C">
        <w:rPr>
          <w:sz w:val="16"/>
          <w:szCs w:val="16"/>
        </w:rPr>
        <w:t>‘derden’ in de zin van een bestemmingsfonds</w:t>
      </w:r>
      <w:r w:rsidRPr="00F26F34">
        <w:rPr>
          <w:sz w:val="16"/>
          <w:szCs w:val="16"/>
        </w:rPr>
        <w: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8726C" w:rsidRDefault="00D8726C" w14:paraId="544B07A7"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0154" w:rsidRDefault="000A1A5C" w14:paraId="62B1F1D8" w14:textId="77777777">
    <w:pPr>
      <w:spacing w:after="3764" w:line="14" w:lineRule="exact"/>
    </w:pPr>
    <w:r>
      <w:rPr>
        <w:noProof/>
      </w:rPr>
      <mc:AlternateContent>
        <mc:Choice Requires="wps">
          <w:drawing>
            <wp:anchor distT="0" distB="0" distL="0" distR="0" simplePos="false" relativeHeight="251654656" behindDoc="false" locked="true" layoutInCell="true" allowOverlap="true" wp14:anchorId="258EB42A" wp14:editId="6EA277C9">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"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id="37907516-206d-4935-9b40-bfe7d2e5302a" o:spid="_x0000_s1026" stroked="f" filled="f">
              <v:textbox inset="0,0,0,0">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680" behindDoc="false" locked="true" layoutInCell="true" allowOverlap="true" wp14:anchorId="69DA53A0" wp14:editId="77C719D5">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a:graphicData uri="http://schemas.microsoft.com/office/word/2010/wordprocessingShape">
                  <wps:wsp>
                    <wps:cNvSpPr txBox="true"/>
                    <wps:spPr>
                      <a:xfrm>
                        <a:off x="0" y="0"/>
                        <a:ext cx="4790440" cy="161925"/>
                      </a:xfrm>
                      <a:prstGeom prst="rect">
                        <a:avLst/>
                      </a:prstGeom>
                      <a:noFill/>
                    </wps:spPr>
                    <wps:txbx>
                      <w:txbxContent>
                        <w:p w:rsidR="000A1A5C" w:rsidRDefault="000A1A5C" w14:paraId="0E71DE9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"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id="0674915a-06c1-4e08-98da-a94c04297537" o:spid="_x0000_s1027" stroked="f" filled="f">
              <v:textbox inset="0,0,0,0">
                <w:txbxContent>
                  <w:p w:rsidR="000A1A5C" w:rsidRDefault="000A1A5C" w14:paraId="0E71DE96" w14:textId="77777777"/>
                </w:txbxContent>
              </v:textbox>
              <w10:wrap anchorx="page" anchory="page"/>
              <w10:anchorlock/>
            </v:shape>
          </w:pict>
        </mc:Fallback>
      </mc:AlternateContent>
    </w:r>
    <w:r>
      <w:rPr>
        <w:noProof/>
      </w:rPr>
      <mc:AlternateContent>
        <mc:Choice Requires="wps">
          <w:drawing>
            <wp:anchor distT="0" distB="0" distL="0" distR="0" simplePos="false" relativeHeight="251656704" behindDoc="false" locked="true" layoutInCell="true" allowOverlap="true" wp14:anchorId="2C36F21F" wp14:editId="52F35EE9">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a:graphicData uri="http://schemas.microsoft.com/office/word/2010/wordprocessingShape">
                  <wps:wsp>
                    <wps:cNvSpPr txBox="true"/>
                    <wps:spPr>
                      <a:xfrm>
                        <a:off x="0" y="0"/>
                        <a:ext cx="6190615" cy="161925"/>
                      </a:xfrm>
                      <a:prstGeom prst="rect">
                        <a:avLst/>
                      </a:prstGeom>
                      <a:noFill/>
                    </wps:spPr>
                    <wps:txbx>
                      <w:txbxContent>
                        <w:p w:rsidR="000A1A5C" w:rsidRDefault="000A1A5C" w14:paraId="389032C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"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id="8effdeb6-01e6-4e76-b2f1-a29fe2a6ed42" o:spid="_x0000_s1028" stroked="f" filled="f">
              <v:textbox inset="0,0,0,0">
                <w:txbxContent>
                  <w:p w:rsidR="000A1A5C" w:rsidRDefault="000A1A5C" w14:paraId="389032CE" w14:textId="77777777"/>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90154" w:rsidRDefault="000A1A5C" w14:paraId="1A9A0A9C" w14:textId="77777777">
    <w:r>
      <w:rPr>
        <w:noProof/>
      </w:rPr>
      <mc:AlternateContent>
        <mc:Choice Requires="wps">
          <w:drawing>
            <wp:anchor distT="0" distB="0" distL="0" distR="0" simplePos="false" relativeHeight="251657728" behindDoc="false" locked="true" layoutInCell="true" allowOverlap="true" wp14:anchorId="5D8CEDB4" wp14:editId="02880329">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a:graphicData uri="http://schemas.microsoft.com/office/word/2010/wordprocessingShape">
                  <wps:wsp>
                    <wps:cNvSpPr txBox="true"/>
                    <wps:spPr>
                      <a:xfrm>
                        <a:off x="0" y="0"/>
                        <a:ext cx="2339975" cy="1583690"/>
                      </a:xfrm>
                      <a:prstGeom prst="rect">
                        <a:avLst/>
                      </a:prstGeom>
                      <a:noFill/>
                    </wps:spPr>
                    <wps:txbx>
                      <w:txbxContent>
                        <w:p w:rsidR="00590154" w:rsidRDefault="000A1A5C" w14:paraId="1F80464E" w14:textId="77777777">
                          <w:pPr>
                            <w:spacing w:line="240" w:lineRule="auto"/>
                          </w:pPr>
                          <w:r>
                            <w:rPr>
                              <w:noProof/>
                            </w:rPr>
                            <w:drawing>
                              <wp:inline distT="0" distB="0" distL="0" distR="0">
                                <wp:extent cx="2339975" cy="1582834"/>
                                <wp:effectExtent l="0" t="0" r="0" b="0"/>
                                <wp:docPr id="5" name="Logotype_FIN" descr="Ministerie van Financiën"/>
                                <wp:cNvGraphicFramePr/>
                                <a:graphic>
                                  <a:graphicData uri="http://schemas.openxmlformats.org/drawingml/2006/picture">
                                    <pic:pic>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"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id="06d80bfe-9ffb-432e-a996-f39da712fb62" o:spid="_x0000_s1029" stroked="f" filled="f">
              <v:textbox inset="0,0,0,0">
                <w:txbxContent>
                  <w:p w:rsidR="00590154" w:rsidRDefault="000A1A5C" w14:paraId="1F80464E" w14:textId="77777777">
                    <w:pPr>
                      <w:spacing w:line="240" w:lineRule="auto"/>
                    </w:pPr>
                    <w:r>
                      <w:rPr>
                        <w:noProof/>
                      </w:rPr>
                      <w:drawing>
                        <wp:inline distT="0" distB="0" distL="0" distR="0">
                          <wp:extent cx="2339975" cy="1582834"/>
                          <wp:effectExtent l="0" t="0" r="0" b="0"/>
                          <wp:docPr id="5" name="Logotype_FIN" descr="Ministerie van Financiën"/>
                          <wp:cNvGraphicFramePr/>
                          <a:graphic>
                            <a:graphicData uri="http://schemas.openxmlformats.org/drawingml/2006/picture">
                              <pic:pic>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752" behindDoc="false" locked="true" layoutInCell="true" allowOverlap="true" wp14:anchorId="36EDFD88" wp14:editId="632428BE">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a:graphicData uri="http://schemas.microsoft.com/office/word/2010/wordprocessingShape">
                  <wps:wsp>
                    <wps:cNvSpPr txBox="true"/>
                    <wps:spPr>
                      <a:xfrm>
                        <a:off x="0" y="0"/>
                        <a:ext cx="467995" cy="1583055"/>
                      </a:xfrm>
                      <a:prstGeom prst="rect">
                        <a:avLst/>
                      </a:prstGeom>
                      <a:noFill/>
                    </wps:spPr>
                    <wps:txbx>
                      <w:txbxContent>
                        <w:p w:rsidR="00590154" w:rsidRDefault="000A1A5C" w14:paraId="3B35E933" w14:textId="77777777">
                          <w:pPr>
                            <w:spacing w:line="240" w:lineRule="auto"/>
                          </w:pPr>
                          <w:r>
                            <w:rPr>
                              <w:noProof/>
                            </w:rPr>
                            <w:drawing>
                              <wp:inline distT="0" distB="0" distL="0" distR="0">
                                <wp:extent cx="467995" cy="1583865"/>
                                <wp:effectExtent l="0" t="0" r="0" b="0"/>
                                <wp:docPr id="7" name="Logo" descr="Rijkslint, logo van de Rijksoverheid (blauw)"/>
                                <wp:cNvGraphicFramePr/>
                                <a:graphic>
                                  <a:graphicData uri="http://schemas.openxmlformats.org/drawingml/2006/picture">
                                    <pic:pic>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id="fcdec3b7-7ef3-4473-8d2f-a7abd116629e" o:spid="_x0000_s1030" stroked="f" filled="f">
              <v:textbox inset="0,0,0,0">
                <w:txbxContent>
                  <w:p w:rsidR="00590154" w:rsidRDefault="000A1A5C" w14:paraId="3B35E933" w14:textId="77777777">
                    <w:pPr>
                      <w:spacing w:line="240" w:lineRule="auto"/>
                    </w:pPr>
                    <w:r>
                      <w:rPr>
                        <w:noProof/>
                      </w:rPr>
                      <w:drawing>
                        <wp:inline distT="0" distB="0" distL="0" distR="0">
                          <wp:extent cx="467995" cy="1583865"/>
                          <wp:effectExtent l="0" t="0" r="0" b="0"/>
                          <wp:docPr id="7" name="Logo" descr="Rijkslint, logo van de Rijksoverheid (blauw)"/>
                          <wp:cNvGraphicFramePr/>
                          <a:graphic>
                            <a:graphicData uri="http://schemas.openxmlformats.org/drawingml/2006/picture">
                              <pic:pic>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9776" behindDoc="false" locked="true" layoutInCell="true" allowOverlap="true" wp14:anchorId="7D3BE5CC" wp14:editId="7DEBCF12">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a:graphicData uri="http://schemas.microsoft.com/office/word/2010/wordprocessingShape">
                  <wps:wsp>
                    <wps:cNvSpPr txBox="true"/>
                    <wps:spPr>
                      <a:xfrm>
                        <a:off x="0" y="0"/>
                        <a:ext cx="4790440" cy="161925"/>
                      </a:xfrm>
                      <a:prstGeom prst="rect">
                        <a:avLst/>
                      </a:prstGeom>
                      <a:noFill/>
                    </wps:spPr>
                    <wps:txbx>
                      <w:txbxContent>
                        <w:p w:rsidR="000A1A5C" w:rsidRDefault="000A1A5C" w14:paraId="1E57564A"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"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id="1a848b88-8036-4b51-a168-0c3fa86767d8" o:spid="_x0000_s1031" stroked="f" filled="f">
              <v:textbox inset="0,0,0,0">
                <w:txbxContent>
                  <w:p w:rsidR="000A1A5C" w:rsidRDefault="000A1A5C" w14:paraId="1E57564A" w14:textId="77777777"/>
                </w:txbxContent>
              </v:textbox>
              <w10:wrap anchorx="page" anchory="page"/>
              <w10:anchorlock/>
            </v:shape>
          </w:pict>
        </mc:Fallback>
      </mc:AlternateContent>
    </w:r>
    <w:r>
      <w:rPr>
        <w:noProof/>
      </w:rPr>
      <mc:AlternateContent>
        <mc:Choice Requires="wps">
          <w:drawing>
            <wp:anchor distT="0" distB="0" distL="0" distR="0" simplePos="false" relativeHeight="251660800" behindDoc="false" locked="true" layoutInCell="true" allowOverlap="true" wp14:anchorId="5A73F16E" wp14:editId="2D01E799">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"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id="dbf2cbc8-39cd-4a71-a0ed-75ccce7e4502" o:spid="_x0000_s1032" stroked="f" filled="f">
              <v:textbox inset="0,0,0,0">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220404"/>
    <w:multiLevelType w:val="multilevel"/>
    <w:tmpl w:val="B75C4E7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83BD3A2"/>
    <w:multiLevelType w:val="multilevel"/>
    <w:tmpl w:val="09499E6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33C350A"/>
    <w:multiLevelType w:val="hybridMultilevel"/>
    <w:tmpl w:val="E51E2B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EF6050"/>
    <w:multiLevelType w:val="hybridMultilevel"/>
    <w:tmpl w:val="34400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F249EF"/>
    <w:multiLevelType w:val="hybridMultilevel"/>
    <w:tmpl w:val="24F083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1DE77F"/>
    <w:multiLevelType w:val="multilevel"/>
    <w:tmpl w:val="C10D73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DB1031"/>
    <w:multiLevelType w:val="hybridMultilevel"/>
    <w:tmpl w:val="987660F2"/>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A8C1BF8"/>
    <w:multiLevelType w:val="multilevel"/>
    <w:tmpl w:val="CB27B5C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B3C85AF"/>
    <w:multiLevelType w:val="multilevel"/>
    <w:tmpl w:val="ADBE5F1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7D0C0729"/>
    <w:multiLevelType w:val="hybridMultilevel"/>
    <w:tmpl w:val="D9D2C92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0660598">
    <w:abstractNumId w:val="7"/>
  </w:num>
  <w:num w:numId="2" w16cid:durableId="1410351720">
    <w:abstractNumId w:val="8"/>
  </w:num>
  <w:num w:numId="3" w16cid:durableId="269095276">
    <w:abstractNumId w:val="0"/>
  </w:num>
  <w:num w:numId="4" w16cid:durableId="1247959492">
    <w:abstractNumId w:val="5"/>
  </w:num>
  <w:num w:numId="5" w16cid:durableId="1962757221">
    <w:abstractNumId w:val="1"/>
  </w:num>
  <w:num w:numId="6" w16cid:durableId="1532723031">
    <w:abstractNumId w:val="3"/>
  </w:num>
  <w:num w:numId="7" w16cid:durableId="1963532383">
    <w:abstractNumId w:val="9"/>
  </w:num>
  <w:num w:numId="8" w16cid:durableId="526867431">
    <w:abstractNumId w:val="6"/>
  </w:num>
  <w:num w:numId="9" w16cid:durableId="2059351885">
    <w:abstractNumId w:val="2"/>
  </w:num>
  <w:num w:numId="10" w16cid:durableId="308292157">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proofState w:spelling="clean"/>
  <w:attachedTemplate r:id="rId1"/>
  <w:defaultTabStop w:val="708"/>
  <w:hyphenationZone w:val="425"/>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6C"/>
    <w:rsid w:val="00067790"/>
    <w:rsid w:val="000A1A5C"/>
    <w:rsid w:val="0020731C"/>
    <w:rsid w:val="0022552E"/>
    <w:rsid w:val="00252448"/>
    <w:rsid w:val="00272E36"/>
    <w:rsid w:val="00314395"/>
    <w:rsid w:val="003A1D50"/>
    <w:rsid w:val="003B51EA"/>
    <w:rsid w:val="004023A8"/>
    <w:rsid w:val="00452E42"/>
    <w:rsid w:val="00465B2B"/>
    <w:rsid w:val="004E5EA3"/>
    <w:rsid w:val="00542AE5"/>
    <w:rsid w:val="00590154"/>
    <w:rsid w:val="005A262B"/>
    <w:rsid w:val="006A5DBE"/>
    <w:rsid w:val="006F7962"/>
    <w:rsid w:val="008A54B3"/>
    <w:rsid w:val="008D0EFF"/>
    <w:rsid w:val="0093588E"/>
    <w:rsid w:val="00984252"/>
    <w:rsid w:val="009D420A"/>
    <w:rsid w:val="00B674F9"/>
    <w:rsid w:val="00BF6E17"/>
    <w:rsid w:val="00D110DF"/>
    <w:rsid w:val="00D52EBD"/>
    <w:rsid w:val="00D54AF3"/>
    <w:rsid w:val="00D8726C"/>
    <w:rsid w:val="00DD689C"/>
    <w:rsid w:val="00E869E6"/>
    <w:rsid w:val="00F26F34"/>
    <w:rsid w:val="00F61F2B"/>
    <w:rsid w:val="00F82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481" v:ext="edit"/>
    <o:shapelayout v:ext="edit">
      <o:idmap data="1" v:ext="edit"/>
    </o:shapelayout>
  </w:shapeDefaults>
  <w:decimalSymbol w:val=","/>
  <w:listSeparator w:val=";"/>
  <w14:docId w14:val="16BA4109"/>
  <w15:docId w15:val="{1136FB03-6706-42A3-9294-0524B678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872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726C"/>
    <w:rPr>
      <w:rFonts w:ascii="Verdana" w:hAnsi="Verdana"/>
      <w:color w:val="000000"/>
      <w:sz w:val="18"/>
      <w:szCs w:val="18"/>
    </w:rPr>
  </w:style>
  <w:style w:type="paragraph" w:styleId="Voettekst">
    <w:name w:val="footer"/>
    <w:basedOn w:val="Standaard"/>
    <w:link w:val="VoettekstChar"/>
    <w:uiPriority w:val="99"/>
    <w:unhideWhenUsed/>
    <w:rsid w:val="00D8726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726C"/>
    <w:rPr>
      <w:rFonts w:ascii="Verdana" w:hAnsi="Verdana"/>
      <w:color w:val="000000"/>
      <w:sz w:val="18"/>
      <w:szCs w:val="18"/>
    </w:rPr>
  </w:style>
  <w:style w:type="paragraph" w:styleId="Lijstalinea">
    <w:name w:val="List Paragraph"/>
    <w:basedOn w:val="Standaard"/>
    <w:uiPriority w:val="34"/>
    <w:qFormat/>
    <w:rsid w:val="00BF6E17"/>
    <w:pPr>
      <w:autoSpaceDN/>
      <w:spacing w:after="160" w:line="259" w:lineRule="auto"/>
      <w:ind w:left="720"/>
      <w:contextualSpacing/>
      <w:textAlignment w:val="auto"/>
    </w:pPr>
    <w:rPr>
      <w:rFonts w:eastAsiaTheme="minorHAnsi" w:cstheme="minorBidi"/>
      <w:color w:val="auto"/>
      <w:szCs w:val="22"/>
      <w:lang w:eastAsia="en-US"/>
    </w:rPr>
  </w:style>
  <w:style w:type="paragraph" w:styleId="Geenafstand">
    <w:name w:val="No Spacing"/>
    <w:uiPriority w:val="1"/>
    <w:qFormat/>
    <w:rsid w:val="00BF6E17"/>
    <w:rPr>
      <w:rFonts w:ascii="Verdana" w:hAnsi="Verdana"/>
      <w:color w:val="000000"/>
      <w:sz w:val="18"/>
      <w:szCs w:val="18"/>
    </w:rPr>
  </w:style>
  <w:style w:type="paragraph" w:styleId="Voetnoottekst">
    <w:name w:val="footnote text"/>
    <w:basedOn w:val="Standaard"/>
    <w:link w:val="VoetnoottekstChar"/>
    <w:uiPriority w:val="99"/>
    <w:semiHidden/>
    <w:unhideWhenUsed/>
    <w:rsid w:val="00BF6E17"/>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BF6E17"/>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BF6E17"/>
    <w:rPr>
      <w:vertAlign w:val="superscript"/>
    </w:rPr>
  </w:style>
  <w:style w:type="paragraph" w:styleId="Revisie">
    <w:name w:val="Revision"/>
    <w:hidden/>
    <w:uiPriority w:val="99"/>
    <w:semiHidden/>
    <w:rsid w:val="0098425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84252"/>
    <w:rPr>
      <w:sz w:val="16"/>
      <w:szCs w:val="16"/>
    </w:rPr>
  </w:style>
  <w:style w:type="paragraph" w:styleId="Tekstopmerking">
    <w:name w:val="annotation text"/>
    <w:basedOn w:val="Standaard"/>
    <w:link w:val="TekstopmerkingChar"/>
    <w:uiPriority w:val="99"/>
    <w:unhideWhenUsed/>
    <w:rsid w:val="00984252"/>
    <w:pPr>
      <w:spacing w:line="240" w:lineRule="auto"/>
    </w:pPr>
    <w:rPr>
      <w:sz w:val="20"/>
      <w:szCs w:val="20"/>
    </w:rPr>
  </w:style>
  <w:style w:type="character" w:customStyle="1" w:styleId="TekstopmerkingChar">
    <w:name w:val="Tekst opmerking Char"/>
    <w:basedOn w:val="Standaardalinea-lettertype"/>
    <w:link w:val="Tekstopmerking"/>
    <w:uiPriority w:val="99"/>
    <w:rsid w:val="009842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84252"/>
    <w:rPr>
      <w:b/>
      <w:bCs/>
    </w:rPr>
  </w:style>
  <w:style w:type="character" w:customStyle="1" w:styleId="OnderwerpvanopmerkingChar">
    <w:name w:val="Onderwerp van opmerking Char"/>
    <w:basedOn w:val="TekstopmerkingChar"/>
    <w:link w:val="Onderwerpvanopmerking"/>
    <w:uiPriority w:val="99"/>
    <w:semiHidden/>
    <w:rsid w:val="00984252"/>
    <w:rPr>
      <w:rFonts w:ascii="Verdana" w:hAnsi="Verdana"/>
      <w:b/>
      <w:bCs/>
      <w:color w:val="000000"/>
    </w:rPr>
  </w:style>
  <w:style w:type="character" w:styleId="Onopgelostemelding">
    <w:name w:val="Unresolved Mention"/>
    <w:basedOn w:val="Standaardalinea-lettertype"/>
    <w:uiPriority w:val="99"/>
    <w:semiHidden/>
    <w:unhideWhenUsed/>
    <w:rsid w:val="008D0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s://evaluaties.rijksfinancien.nl/sites/default/files/2024-06/Nieuwe%20handreiking%20CW3.1%20final_1.pdf" Type="http://schemas.openxmlformats.org/officeDocument/2006/relationships/hyperlink" Id="rId9"/>
    <Relationship Target="header3.xml" Type="http://schemas.openxmlformats.org/officeDocument/2006/relationships/header" Id="rId14"/>
    <Relationship Target="webSettings0.xml" Type="http://schemas.openxmlformats.org/officeDocument/2006/relationships/webSetting" Id="rId22"/>
</Relationships>

</file>

<file path=word/_rels/header3.xml.rels><?xml version="1.0" encoding="UTF-8" standalone="yes"?>
<Relationships xmlns="http://schemas.openxmlformats.org/package/2006/relationships">
    <Relationship Target="media/image2.png" Type="http://schemas.openxmlformats.org/officeDocument/2006/relationships/image" Id="rId2"/>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lanco%20document.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ustomXml xmlns="docgen-assistant">
  <Configuration>
    <VariableConfigurations>
      <VariableConfiguration>
        <Name><![CDATA[Classification]]></Name>
        <Options>
          <Option><![CDATA[Departementaal vertrouwelijk]]></Option>
          <Option><![CDATA[EU Restricted]]></Option>
          <Option><![CDATA[EU Unclassified]]></Option>
          <Option><![CDATA[Internationaal Vertrouwelijk]]></Option>
          <Option><![CDATA[NATO Restricted]]></Option>
          <Option><![CDATA[NATO Unclassified]]></Option>
          <Option><![CDATA[Ongerubriceerd]]></Option>
        </Options>
      </VariableConfiguration>
      <VariableConfiguration>
        <Name><![CDATA[Marking]]></Name>
        <Options>
          <Option><![CDATA[Commercieel Vertrouwelijk]]></Option>
          <Option><![CDATA[EU Limited]]></Option>
          <Option><![CDATA[Geen Merking]]></Option>
          <Option><![CDATA[Gelimiteerd]]></Option>
          <Option><![CDATA[Openbaar]]></Option>
          <Option><![CDATA[Persoonsvertrouwelijk]]></Option>
          <Option><![CDATA[Persoonszeervertrouwelijk]]></Option>
        </Options>
      </VariableConfiguration>
      <VariableConfiguration>
        <Name><![CDATA[Recipient - Organisation]]></Name>
      </VariableConfiguration>
      <VariableConfiguration>
        <Name><![CDATA[Recipient - Contact]]></Name>
      </VariableConfiguration>
      <VariableConfiguration>
        <Name><![CDATA[Recipient - Street]]></Name>
      </VariableConfiguration>
      <VariableConfiguration>
        <Name><![CDATA[Recipient - House number]]></Name>
      </VariableConfiguration>
      <VariableConfiguration>
        <Name><![CDATA[Recipient - Postal code]]></Name>
      </VariableConfiguration>
      <VariableConfiguration>
        <Name><![CDATA[Recipient - City]]></Name>
      </VariableConfiguration>
      <VariableConfiguration>
        <Name><![CDATA[Recipient - Country]]></Name>
      </VariableConfiguration>
      <VariableConfiguration>
        <Name><![CDATA[Organisation - Directorate general name]]></Name>
      </VariableConfiguration>
      <VariableConfiguration>
        <Name><![CDATA[Organisation - Directorate]]></Name>
      </VariableConfiguration>
      <VariableConfiguration>
        <Name><![CDATA[Organisation - Department]]></Name>
      </VariableConfiguration>
      <VariableConfiguration>
        <Name><![CDATA[Contact - Name]]></Name>
      </VariableConfiguration>
      <VariableConfiguration>
        <Name><![CDATA[Contact - Function]]></Name>
      </VariableConfiguration>
      <VariableConfiguration>
        <Name><![CDATA[Contact - Phone]]></Name>
      </VariableConfiguration>
      <VariableConfiguration>
        <Name><![CDATA[Contact - Mobile]]></Name>
      </VariableConfiguration>
      <VariableConfiguration>
        <Name><![CDATA[Contact - Fax]]></Name>
      </VariableConfiguration>
      <VariableConfiguration>
        <Name><![CDATA[Contact - Email]]></Name>
      </VariableConfiguration>
      <VariableConfiguration>
        <Name><![CDATA[Sender - Website address]]></Name>
      </VariableConfiguration>
      <VariableConfiguration>
        <Name><![CDATA[Sender postal address - PO box]]></Name>
      </VariableConfiguration>
      <VariableConfiguration>
        <Name><![CDATA[Sender postal address - Street and house number]]></Name>
      </VariableConfiguration>
      <VariableConfiguration>
        <Name><![CDATA[Sender postal address - Postal code]]></Name>
      </VariableConfiguration>
      <VariableConfiguration>
        <Name><![CDATA[Sender postal address - City]]></Name>
      </VariableConfiguration>
      <VariableConfiguration>
        <Name><![CDATA[Sender postal address - Country]]></Name>
      </VariableConfiguration>
      <VariableConfiguration>
        <Name><![CDATA[Sender visiting address - Buildingname]]></Name>
      </VariableConfiguration>
      <VariableConfiguration>
        <Name><![CDATA[Sender visiting address - Street and house number]]></Name>
      </VariableConfiguration>
      <VariableConfiguration>
        <Name><![CDATA[Sender visiting address - Postal code]]></Name>
      </VariableConfiguration>
      <VariableConfiguration>
        <Name><![CDATA[Sender visiting address - City]]></Name>
      </VariableConfiguration>
      <VariableConfiguration>
        <Name><![CDATA[Sender visiting address - Country]]></Name>
      </VariableConfiguration>
      <VariableConfiguration>
        <Name><![CDATA[Body - Salutation]]></Name>
        <Options>
          <Option><![CDATA[Geachte,]]></Option>
          <Option><![CDATA[Geachte heer/mevrouw,]]></Option>
          <Option><![CDATA[Geachte heer,]]></Option>
          <Option><![CDATA[Geachte mevrouw,]]></Option>
          <Option><![CDATA[Beste collega,]]></Option>
          <Option><![CDATA[Collega,]]></Option>
        </Options>
      </VariableConfiguration>
      <VariableConfiguration>
        <Name><![CDATA[Subject]]></Name>
      </VariableConfiguration>
      <VariableConfiguration>
        <Name><![CDATA[Date]]></Name>
      </VariableConfiguration>
      <VariableConfiguration>
        <Name><![CDATA[Our reference]]></Name>
      </VariableConfiguration>
      <VariableConfiguration>
        <Name><![CDATA[Your reference]]></Name>
      </VariableConfiguration>
      <VariableConfiguration>
        <Name><![CDATA[Copy to]]></Name>
      </VariableConfiguration>
      <VariableConfiguration>
        <Name><![CDATA[Enclosures]]></Name>
      </VariableConfiguration>
    </VariableConfigurations>
  </Configuration>
</CustomXml>
</file>

<file path=customXml/itemProps1.xml><?xml version="1.0" encoding="utf-8"?>
<ds:datastoreItem xmlns:ds="http://schemas.openxmlformats.org/officeDocument/2006/customXml" ds:itemID="{69D6EEC8-C9E1-4904-8281-341938F2DEB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9D6EEC8-C9E1-4904-8281-341938F2DEB0}">
  <ds:schemaRefs>
    <ds:schemaRef ds:uri="docgen-assistant"/>
  </ds:schemaRefs>
</ds:datastoreItem>
</file>

<file path=docProps/app.xml><?xml version="1.0" encoding="utf-8"?>
<properties:Properties xmlns:vt="http://schemas.openxmlformats.org/officeDocument/2006/docPropsVTypes" xmlns:properties="http://schemas.openxmlformats.org/officeDocument/2006/extended-properties">
  <properties:Template>Blanco document</properties:Template>
  <properties:Company>Rijksoverheid</properties:Company>
  <properties:Pages>2</properties:Pages>
  <properties:Words>865</properties:Words>
  <properties:Characters>4759</properties:Characters>
  <properties:Lines>39</properties:Lines>
  <properties:Paragraphs>11</properties:Paragraphs>
  <properties:TotalTime>0</properties:TotalTime>
  <properties:ScaleCrop>false</properties:ScaleCrop>
  <properties:HeadingPairs>
    <vt:vector baseType="variant" size="2">
      <vt:variant>
        <vt:lpstr>Titel</vt:lpstr>
      </vt:variant>
      <vt:variant>
        <vt:i4>1</vt:i4>
      </vt:variant>
    </vt:vector>
  </properties:HeadingPairs>
  <properties:TitlesOfParts>
    <vt:vector baseType="lpstr" size="1">
      <vt:lpstr>Blanco document - Formulier aanvraag bestemmingsfonds</vt:lpstr>
    </vt:vector>
  </properties:TitlesOfParts>
  <properties:LinksUpToDate>false</properties:LinksUpToDate>
  <properties:CharactersWithSpaces>5613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2024-10-10T14:31:00Z</dcterms:created>
  <dc:creator>Luigjes, CF (Chris) (BZ/BBE)</dc:creator>
  <cp:lastModifiedBy>Luigjes, CF (Chris) (BZ/BBE)</cp:lastModifiedBy>
  <dcterms:modified xmlns:xsi="http://www.w3.org/2001/XMLSchema-instance" xsi:type="dcterms:W3CDTF">2025-01-28T08:12:00Z</dcterms:modified>
  <cp:revision>6</cp:revision>
  <dc:title>Blanco document - Formulier aanvraag bestemmingsfonds</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Blank document - Formulier aanvraag bestemmingsfonds</vt:lpwstr>
  </prop:property>
  <prop:property fmtid="{D5CDD505-2E9C-101B-9397-08002B2CF9AE}" pid="5" name="Publicatiedatum">
    <vt:lpwstr/>
  </prop:property>
  <prop:property fmtid="{D5CDD505-2E9C-101B-9397-08002B2CF9AE}" pid="6" name="Verantwoordelijke organisatie">
    <vt:lpwstr/>
  </prop:property>
  <prop:property fmtid="{D5CDD505-2E9C-101B-9397-08002B2CF9AE}" pid="7" name="Taal">
    <vt:lpwstr>nl_NL</vt:lpwstr>
  </prop:property>
  <prop:property fmtid="{D5CDD505-2E9C-101B-9397-08002B2CF9AE}" pid="8" name="Inhoudsindicatie">
    <vt:lpwstr>Formulier aanvraag bestemmingsfonds agentschappen opgesteld door Begrotingszaken, ingevuld door Financieel-Economische Zaken (FEZ) van vakdepartementen en beoordeeld door Inspectie der Rijksfinanciën (IRF).</vt:lpwstr>
  </prop:property>
  <prop:property fmtid="{D5CDD505-2E9C-101B-9397-08002B2CF9AE}" pid="9" name="Status">
    <vt:lpwstr/>
  </prop:property>
  <prop:property fmtid="{D5CDD505-2E9C-101B-9397-08002B2CF9AE}" pid="10" name="Aan">
    <vt:lpwstr/>
  </prop:property>
  <prop:property fmtid="{D5CDD505-2E9C-101B-9397-08002B2CF9AE}" pid="11" name="Van">
    <vt:lpwstr>Directie Begrotingszaken</vt:lpwstr>
  </prop:property>
  <prop:property fmtid="{D5CDD505-2E9C-101B-9397-08002B2CF9AE}" pid="12" name="Datum">
    <vt:lpwstr>2 september 2024</vt:lpwstr>
  </prop:property>
  <prop:property fmtid="{D5CDD505-2E9C-101B-9397-08002B2CF9AE}" pid="13" name="Opgesteld door, Naam">
    <vt:lpwstr/>
  </prop:property>
  <prop:property fmtid="{D5CDD505-2E9C-101B-9397-08002B2CF9AE}" pid="14" name="Opgesteld door, Telefoonnummer">
    <vt:lpwstr/>
  </prop:property>
  <prop:property fmtid="{D5CDD505-2E9C-101B-9397-08002B2CF9AE}" pid="15" name="Kenmerk">
    <vt:lpwstr>2025-0000004236</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DocGen_Blanco document_nl_NL</vt:lpwstr>
  </prop:property>
  <prop:property fmtid="{D5CDD505-2E9C-101B-9397-08002B2CF9AE}" pid="29" name="Onderwerp">
    <vt:lpwstr>Formulier aanvraag bestemmingsfonds</vt:lpwstr>
  </prop:property>
  <prop:property fmtid="{D5CDD505-2E9C-101B-9397-08002B2CF9AE}" pid="30" name="UwKenmerk">
    <vt:lpwstr/>
  </prop:property>
  <prop:property fmtid="{D5CDD505-2E9C-101B-9397-08002B2CF9AE}" pid="31" name="MSIP_Label_35ad6b54-f757-49c9-8c83-ef7f8aa67172_Enabled">
    <vt:lpwstr>true</vt:lpwstr>
  </prop:property>
  <prop:property fmtid="{D5CDD505-2E9C-101B-9397-08002B2CF9AE}" pid="32" name="MSIP_Label_35ad6b54-f757-49c9-8c83-ef7f8aa67172_SetDate">
    <vt:lpwstr>2024-09-02T08:59:31Z</vt:lpwstr>
  </prop:property>
  <prop:property fmtid="{D5CDD505-2E9C-101B-9397-08002B2CF9AE}" pid="33" name="MSIP_Label_35ad6b54-f757-49c9-8c83-ef7f8aa67172_Method">
    <vt:lpwstr>Standard</vt:lpwstr>
  </prop:property>
  <prop:property fmtid="{D5CDD505-2E9C-101B-9397-08002B2CF9AE}" pid="34" name="MSIP_Label_35ad6b54-f757-49c9-8c83-ef7f8aa67172_Name">
    <vt:lpwstr>FIN-DGRB-Rijksoverheid</vt:lpwstr>
  </prop:property>
  <prop:property fmtid="{D5CDD505-2E9C-101B-9397-08002B2CF9AE}" pid="35" name="MSIP_Label_35ad6b54-f757-49c9-8c83-ef7f8aa67172_SiteId">
    <vt:lpwstr>84712536-f524-40a0-913b-5d25ba502732</vt:lpwstr>
  </prop:property>
  <prop:property fmtid="{D5CDD505-2E9C-101B-9397-08002B2CF9AE}" pid="36" name="MSIP_Label_35ad6b54-f757-49c9-8c83-ef7f8aa67172_ActionId">
    <vt:lpwstr>a27522c2-ab24-4d41-968e-4f22f719d650</vt:lpwstr>
  </prop:property>
  <prop:property fmtid="{D5CDD505-2E9C-101B-9397-08002B2CF9AE}" pid="37" name="MSIP_Label_35ad6b54-f757-49c9-8c83-ef7f8aa67172_ContentBits">
    <vt:lpwstr>0</vt:lpwstr>
  </prop:property>
</prop:Properties>
</file>